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742" w:rsidRDefault="00F87A27">
      <w:pPr>
        <w:pStyle w:val="1"/>
        <w:tabs>
          <w:tab w:val="right" w:leader="dot" w:pos="8306"/>
        </w:tabs>
        <w:jc w:val="center"/>
        <w:rPr>
          <w:rFonts w:ascii="黑体" w:eastAsia="黑体" w:hAnsi="黑体" w:cs="宋体"/>
          <w:b/>
          <w:color w:val="000000" w:themeColor="text1"/>
          <w:sz w:val="28"/>
          <w:szCs w:val="28"/>
        </w:rPr>
      </w:pPr>
      <w:r>
        <w:rPr>
          <w:rFonts w:ascii="黑体" w:eastAsia="黑体" w:hAnsi="黑体" w:cs="宋体" w:hint="eastAsia"/>
          <w:b/>
          <w:color w:val="000000" w:themeColor="text1"/>
          <w:sz w:val="28"/>
          <w:szCs w:val="28"/>
        </w:rPr>
        <w:t>企业所得税汇算清缴非接触审核工作指引</w:t>
      </w:r>
    </w:p>
    <w:p w:rsidR="00683742" w:rsidRDefault="00F87A27" w:rsidP="007302F8">
      <w:pPr>
        <w:pStyle w:val="1"/>
        <w:tabs>
          <w:tab w:val="right" w:leader="dot" w:pos="8306"/>
        </w:tabs>
        <w:spacing w:afterLines="50"/>
        <w:jc w:val="center"/>
        <w:rPr>
          <w:rFonts w:ascii="黑体" w:eastAsia="黑体" w:hAnsi="黑体" w:cs="宋体"/>
          <w:b/>
          <w:color w:val="000000" w:themeColor="text1"/>
          <w:sz w:val="28"/>
          <w:szCs w:val="28"/>
        </w:rPr>
      </w:pPr>
      <w:r>
        <w:rPr>
          <w:rFonts w:ascii="黑体" w:eastAsia="黑体" w:hAnsi="黑体" w:cs="宋体" w:hint="eastAsia"/>
          <w:b/>
          <w:color w:val="000000" w:themeColor="text1"/>
          <w:sz w:val="28"/>
          <w:szCs w:val="28"/>
        </w:rPr>
        <w:t>目   录</w:t>
      </w:r>
    </w:p>
    <w:p w:rsidR="00683742" w:rsidRDefault="00701FD7">
      <w:pPr>
        <w:pStyle w:val="1"/>
        <w:tabs>
          <w:tab w:val="right" w:leader="dot" w:pos="8306"/>
        </w:tabs>
        <w:spacing w:line="312" w:lineRule="auto"/>
      </w:pPr>
      <w:r w:rsidRPr="00701FD7">
        <w:rPr>
          <w:rFonts w:ascii="黑体" w:eastAsia="黑体" w:hAnsi="黑体" w:cs="宋体" w:hint="eastAsia"/>
          <w:b/>
          <w:color w:val="000000" w:themeColor="text1"/>
          <w:sz w:val="28"/>
          <w:szCs w:val="28"/>
        </w:rPr>
        <w:fldChar w:fldCharType="begin"/>
      </w:r>
      <w:r w:rsidR="00F87A27">
        <w:rPr>
          <w:rFonts w:ascii="黑体" w:eastAsia="黑体" w:hAnsi="黑体" w:cs="宋体" w:hint="eastAsia"/>
          <w:b/>
          <w:color w:val="000000" w:themeColor="text1"/>
          <w:sz w:val="28"/>
          <w:szCs w:val="28"/>
        </w:rPr>
        <w:instrText xml:space="preserve">TOC \o "1-4" \h \u </w:instrText>
      </w:r>
      <w:r w:rsidRPr="00701FD7">
        <w:rPr>
          <w:rFonts w:ascii="黑体" w:eastAsia="黑体" w:hAnsi="黑体" w:cs="宋体" w:hint="eastAsia"/>
          <w:b/>
          <w:color w:val="000000" w:themeColor="text1"/>
          <w:sz w:val="28"/>
          <w:szCs w:val="28"/>
        </w:rPr>
        <w:fldChar w:fldCharType="separate"/>
      </w:r>
      <w:hyperlink w:anchor="_Toc20123" w:history="1">
        <w:r w:rsidR="00F87A27">
          <w:rPr>
            <w:rFonts w:ascii="黑体" w:eastAsia="黑体" w:hAnsi="黑体" w:cs="宋体" w:hint="eastAsia"/>
            <w:szCs w:val="28"/>
          </w:rPr>
          <w:t>企业所得税汇算清缴非接触审核工作指引</w:t>
        </w:r>
        <w:r w:rsidR="00F87A27">
          <w:tab/>
        </w:r>
        <w:r>
          <w:fldChar w:fldCharType="begin"/>
        </w:r>
        <w:r w:rsidR="00F87A27">
          <w:instrText xml:space="preserve"> PAGEREF _Toc20123 </w:instrText>
        </w:r>
        <w:r>
          <w:fldChar w:fldCharType="separate"/>
        </w:r>
        <w:r w:rsidR="00F87A27">
          <w:t>1</w:t>
        </w:r>
        <w:r>
          <w:fldChar w:fldCharType="end"/>
        </w:r>
      </w:hyperlink>
    </w:p>
    <w:p w:rsidR="00683742" w:rsidRDefault="00701FD7">
      <w:pPr>
        <w:pStyle w:val="1"/>
        <w:tabs>
          <w:tab w:val="right" w:leader="dot" w:pos="8306"/>
        </w:tabs>
        <w:spacing w:line="312" w:lineRule="auto"/>
      </w:pPr>
      <w:hyperlink w:anchor="_Toc29642" w:history="1">
        <w:r w:rsidR="00F87A27">
          <w:rPr>
            <w:rFonts w:ascii="黑体" w:eastAsia="黑体" w:hAnsi="黑体" w:cs="宋体" w:hint="eastAsia"/>
          </w:rPr>
          <w:t>第一章 基本要求</w:t>
        </w:r>
        <w:r w:rsidR="00F87A27">
          <w:tab/>
        </w:r>
        <w:r>
          <w:fldChar w:fldCharType="begin"/>
        </w:r>
        <w:r w:rsidR="00F87A27">
          <w:instrText xml:space="preserve"> PAGEREF _Toc29642 </w:instrText>
        </w:r>
        <w:r>
          <w:fldChar w:fldCharType="separate"/>
        </w:r>
        <w:r w:rsidR="00F87A27">
          <w:t>1</w:t>
        </w:r>
        <w:r>
          <w:fldChar w:fldCharType="end"/>
        </w:r>
      </w:hyperlink>
    </w:p>
    <w:p w:rsidR="00683742" w:rsidRDefault="00701FD7">
      <w:pPr>
        <w:pStyle w:val="3"/>
        <w:tabs>
          <w:tab w:val="right" w:leader="dot" w:pos="8306"/>
        </w:tabs>
        <w:spacing w:line="312" w:lineRule="auto"/>
      </w:pPr>
      <w:hyperlink w:anchor="_Toc29945" w:history="1">
        <w:r w:rsidR="00F87A27">
          <w:rPr>
            <w:rFonts w:ascii="黑体" w:eastAsia="黑体" w:hAnsi="黑体" w:cs="宋体" w:hint="eastAsia"/>
          </w:rPr>
          <w:t>一、审核业务承接</w:t>
        </w:r>
        <w:r w:rsidR="00F87A27">
          <w:tab/>
        </w:r>
        <w:r>
          <w:fldChar w:fldCharType="begin"/>
        </w:r>
        <w:r w:rsidR="00F87A27">
          <w:instrText xml:space="preserve"> PAGEREF _Toc29945 </w:instrText>
        </w:r>
        <w:r>
          <w:fldChar w:fldCharType="separate"/>
        </w:r>
        <w:r w:rsidR="00F87A27">
          <w:t>1</w:t>
        </w:r>
        <w:r>
          <w:fldChar w:fldCharType="end"/>
        </w:r>
      </w:hyperlink>
    </w:p>
    <w:p w:rsidR="00683742" w:rsidRDefault="00701FD7">
      <w:pPr>
        <w:pStyle w:val="3"/>
        <w:tabs>
          <w:tab w:val="right" w:leader="dot" w:pos="8306"/>
        </w:tabs>
        <w:spacing w:line="312" w:lineRule="auto"/>
      </w:pPr>
      <w:hyperlink w:anchor="_Toc18657" w:history="1">
        <w:r w:rsidR="00F87A27">
          <w:rPr>
            <w:rFonts w:ascii="黑体" w:eastAsia="黑体" w:hAnsi="黑体" w:cs="宋体" w:hint="eastAsia"/>
          </w:rPr>
          <w:t>二、审核业务分配</w:t>
        </w:r>
        <w:r w:rsidR="00F87A27">
          <w:tab/>
        </w:r>
        <w:r>
          <w:fldChar w:fldCharType="begin"/>
        </w:r>
        <w:r w:rsidR="00F87A27">
          <w:instrText xml:space="preserve"> PAGEREF _Toc18657 </w:instrText>
        </w:r>
        <w:r>
          <w:fldChar w:fldCharType="separate"/>
        </w:r>
        <w:r w:rsidR="00F87A27">
          <w:t>2</w:t>
        </w:r>
        <w:r>
          <w:fldChar w:fldCharType="end"/>
        </w:r>
      </w:hyperlink>
    </w:p>
    <w:p w:rsidR="00683742" w:rsidRDefault="00701FD7">
      <w:pPr>
        <w:pStyle w:val="3"/>
        <w:tabs>
          <w:tab w:val="right" w:leader="dot" w:pos="8306"/>
        </w:tabs>
        <w:spacing w:line="312" w:lineRule="auto"/>
      </w:pPr>
      <w:hyperlink w:anchor="_Toc2495" w:history="1">
        <w:r w:rsidR="00F87A27">
          <w:rPr>
            <w:rFonts w:ascii="黑体" w:eastAsia="黑体" w:hAnsi="黑体" w:cs="宋体" w:hint="eastAsia"/>
          </w:rPr>
          <w:t>三、非接触审核工作方式注意事项</w:t>
        </w:r>
        <w:r w:rsidR="00F87A27">
          <w:tab/>
        </w:r>
        <w:r>
          <w:fldChar w:fldCharType="begin"/>
        </w:r>
        <w:r w:rsidR="00F87A27">
          <w:instrText xml:space="preserve"> PAGEREF _Toc2495 </w:instrText>
        </w:r>
        <w:r>
          <w:fldChar w:fldCharType="separate"/>
        </w:r>
        <w:r w:rsidR="00F87A27">
          <w:t>2</w:t>
        </w:r>
        <w:r>
          <w:fldChar w:fldCharType="end"/>
        </w:r>
      </w:hyperlink>
    </w:p>
    <w:p w:rsidR="00683742" w:rsidRDefault="00701FD7">
      <w:pPr>
        <w:pStyle w:val="3"/>
        <w:tabs>
          <w:tab w:val="right" w:leader="dot" w:pos="8306"/>
        </w:tabs>
        <w:spacing w:line="312" w:lineRule="auto"/>
      </w:pPr>
      <w:hyperlink w:anchor="_Toc2199" w:history="1">
        <w:r w:rsidR="00F87A27">
          <w:rPr>
            <w:rFonts w:ascii="黑体" w:eastAsia="黑体" w:hAnsi="黑体" w:cs="宋体" w:hint="eastAsia"/>
          </w:rPr>
          <w:t>四、项目经理职责</w:t>
        </w:r>
        <w:r w:rsidR="00F87A27">
          <w:tab/>
        </w:r>
        <w:r>
          <w:fldChar w:fldCharType="begin"/>
        </w:r>
        <w:r w:rsidR="00F87A27">
          <w:instrText xml:space="preserve"> PAGEREF _Toc2199 </w:instrText>
        </w:r>
        <w:r>
          <w:fldChar w:fldCharType="separate"/>
        </w:r>
        <w:r w:rsidR="00F87A27">
          <w:t>4</w:t>
        </w:r>
        <w:r>
          <w:fldChar w:fldCharType="end"/>
        </w:r>
      </w:hyperlink>
    </w:p>
    <w:p w:rsidR="00683742" w:rsidRDefault="00701FD7">
      <w:pPr>
        <w:pStyle w:val="3"/>
        <w:tabs>
          <w:tab w:val="right" w:leader="dot" w:pos="8306"/>
        </w:tabs>
        <w:spacing w:line="312" w:lineRule="auto"/>
      </w:pPr>
      <w:hyperlink w:anchor="_Toc8740" w:history="1">
        <w:r w:rsidR="00F87A27">
          <w:rPr>
            <w:rFonts w:ascii="黑体" w:eastAsia="黑体" w:hAnsi="黑体" w:cs="宋体" w:hint="eastAsia"/>
          </w:rPr>
          <w:t>五、助理职责</w:t>
        </w:r>
        <w:r w:rsidR="00F87A27">
          <w:tab/>
        </w:r>
        <w:r>
          <w:fldChar w:fldCharType="begin"/>
        </w:r>
        <w:r w:rsidR="00F87A27">
          <w:instrText xml:space="preserve"> PAGEREF _Toc8740 </w:instrText>
        </w:r>
        <w:r>
          <w:fldChar w:fldCharType="separate"/>
        </w:r>
        <w:r w:rsidR="00F87A27">
          <w:t>4</w:t>
        </w:r>
        <w:r>
          <w:fldChar w:fldCharType="end"/>
        </w:r>
      </w:hyperlink>
    </w:p>
    <w:p w:rsidR="00683742" w:rsidRDefault="00701FD7">
      <w:pPr>
        <w:pStyle w:val="1"/>
        <w:tabs>
          <w:tab w:val="right" w:leader="dot" w:pos="8306"/>
        </w:tabs>
        <w:spacing w:line="312" w:lineRule="auto"/>
      </w:pPr>
      <w:hyperlink w:anchor="_Toc17391" w:history="1">
        <w:r w:rsidR="00F87A27">
          <w:rPr>
            <w:rFonts w:ascii="黑体" w:eastAsia="黑体" w:hAnsi="黑体" w:hint="eastAsia"/>
          </w:rPr>
          <w:t>第二章 企业所得税审核业务几点注意的事项</w:t>
        </w:r>
        <w:r w:rsidR="00F87A27">
          <w:tab/>
        </w:r>
        <w:r>
          <w:fldChar w:fldCharType="begin"/>
        </w:r>
        <w:r w:rsidR="00F87A27">
          <w:instrText xml:space="preserve"> PAGEREF _Toc17391 </w:instrText>
        </w:r>
        <w:r>
          <w:fldChar w:fldCharType="separate"/>
        </w:r>
        <w:r w:rsidR="00F87A27">
          <w:t>5</w:t>
        </w:r>
        <w:r>
          <w:fldChar w:fldCharType="end"/>
        </w:r>
      </w:hyperlink>
    </w:p>
    <w:p w:rsidR="00683742" w:rsidRDefault="00701FD7">
      <w:pPr>
        <w:pStyle w:val="3"/>
        <w:tabs>
          <w:tab w:val="right" w:leader="dot" w:pos="8306"/>
        </w:tabs>
        <w:spacing w:line="312" w:lineRule="auto"/>
      </w:pPr>
      <w:hyperlink w:anchor="_Toc16677" w:history="1">
        <w:r w:rsidR="00F87A27">
          <w:rPr>
            <w:rFonts w:ascii="黑体" w:eastAsia="黑体" w:hAnsi="黑体" w:hint="eastAsia"/>
          </w:rPr>
          <w:t>一、初步业务活动</w:t>
        </w:r>
        <w:r w:rsidR="00F87A27">
          <w:tab/>
        </w:r>
        <w:r>
          <w:fldChar w:fldCharType="begin"/>
        </w:r>
        <w:r w:rsidR="00F87A27">
          <w:instrText xml:space="preserve"> PAGEREF _Toc16677 </w:instrText>
        </w:r>
        <w:r>
          <w:fldChar w:fldCharType="separate"/>
        </w:r>
        <w:r w:rsidR="00F87A27">
          <w:t>5</w:t>
        </w:r>
        <w:r>
          <w:fldChar w:fldCharType="end"/>
        </w:r>
      </w:hyperlink>
    </w:p>
    <w:p w:rsidR="00683742" w:rsidRDefault="00701FD7">
      <w:pPr>
        <w:pStyle w:val="3"/>
        <w:tabs>
          <w:tab w:val="right" w:leader="dot" w:pos="8306"/>
        </w:tabs>
        <w:spacing w:line="312" w:lineRule="auto"/>
      </w:pPr>
      <w:hyperlink w:anchor="_Toc22508" w:history="1">
        <w:r w:rsidR="00F87A27">
          <w:rPr>
            <w:rFonts w:ascii="黑体" w:eastAsia="黑体" w:hAnsi="黑体" w:hint="eastAsia"/>
          </w:rPr>
          <w:t>二、风险评估</w:t>
        </w:r>
        <w:r w:rsidR="00F87A27">
          <w:tab/>
        </w:r>
        <w:r>
          <w:fldChar w:fldCharType="begin"/>
        </w:r>
        <w:r w:rsidR="00F87A27">
          <w:instrText xml:space="preserve"> PAGEREF _Toc22508 </w:instrText>
        </w:r>
        <w:r>
          <w:fldChar w:fldCharType="separate"/>
        </w:r>
        <w:r w:rsidR="00F87A27">
          <w:t>5</w:t>
        </w:r>
        <w:r>
          <w:fldChar w:fldCharType="end"/>
        </w:r>
      </w:hyperlink>
    </w:p>
    <w:p w:rsidR="00683742" w:rsidRDefault="00701FD7">
      <w:pPr>
        <w:pStyle w:val="3"/>
        <w:tabs>
          <w:tab w:val="right" w:leader="dot" w:pos="8306"/>
        </w:tabs>
        <w:spacing w:line="312" w:lineRule="auto"/>
      </w:pPr>
      <w:hyperlink w:anchor="_Toc1486" w:history="1">
        <w:r w:rsidR="00F87A27">
          <w:rPr>
            <w:rFonts w:ascii="黑体" w:eastAsia="黑体" w:hAnsi="黑体" w:hint="eastAsia"/>
          </w:rPr>
          <w:t>三、审核结论的评述</w:t>
        </w:r>
        <w:r w:rsidR="00F87A27">
          <w:tab/>
        </w:r>
        <w:r>
          <w:fldChar w:fldCharType="begin"/>
        </w:r>
        <w:r w:rsidR="00F87A27">
          <w:instrText xml:space="preserve"> PAGEREF _Toc1486 </w:instrText>
        </w:r>
        <w:r>
          <w:fldChar w:fldCharType="separate"/>
        </w:r>
        <w:r w:rsidR="00F87A27">
          <w:t>6</w:t>
        </w:r>
        <w:r>
          <w:fldChar w:fldCharType="end"/>
        </w:r>
      </w:hyperlink>
    </w:p>
    <w:p w:rsidR="00683742" w:rsidRDefault="00701FD7">
      <w:pPr>
        <w:pStyle w:val="1"/>
        <w:tabs>
          <w:tab w:val="right" w:leader="dot" w:pos="8306"/>
        </w:tabs>
        <w:spacing w:line="312" w:lineRule="auto"/>
      </w:pPr>
      <w:hyperlink w:anchor="_Toc3383" w:history="1">
        <w:r w:rsidR="00F87A27">
          <w:rPr>
            <w:rFonts w:ascii="黑体" w:eastAsia="黑体" w:hAnsi="黑体" w:hint="eastAsia"/>
          </w:rPr>
          <w:t>第三章  非接触审核具体审核程序及审核要点</w:t>
        </w:r>
        <w:r w:rsidR="00F87A27">
          <w:tab/>
        </w:r>
        <w:r>
          <w:fldChar w:fldCharType="begin"/>
        </w:r>
        <w:r w:rsidR="00F87A27">
          <w:instrText xml:space="preserve"> PAGEREF _Toc3383 </w:instrText>
        </w:r>
        <w:r>
          <w:fldChar w:fldCharType="separate"/>
        </w:r>
        <w:r w:rsidR="00F87A27">
          <w:t>7</w:t>
        </w:r>
        <w:r>
          <w:fldChar w:fldCharType="end"/>
        </w:r>
      </w:hyperlink>
    </w:p>
    <w:p w:rsidR="00683742" w:rsidRDefault="00701FD7">
      <w:pPr>
        <w:pStyle w:val="2"/>
        <w:tabs>
          <w:tab w:val="right" w:leader="dot" w:pos="8306"/>
        </w:tabs>
        <w:spacing w:line="312" w:lineRule="auto"/>
      </w:pPr>
      <w:hyperlink w:anchor="_Toc19652" w:history="1">
        <w:r w:rsidR="00F87A27">
          <w:rPr>
            <w:rFonts w:ascii="黑体" w:eastAsia="黑体" w:hAnsi="黑体" w:hint="eastAsia"/>
          </w:rPr>
          <w:t>第一部分：非接触审核所需资料清单（提供电子版或扫描件）</w:t>
        </w:r>
        <w:r w:rsidR="00F87A27">
          <w:tab/>
        </w:r>
        <w:r>
          <w:fldChar w:fldCharType="begin"/>
        </w:r>
        <w:r w:rsidR="00F87A27">
          <w:instrText xml:space="preserve"> PAGEREF _Toc19652 </w:instrText>
        </w:r>
        <w:r>
          <w:fldChar w:fldCharType="separate"/>
        </w:r>
        <w:r w:rsidR="00F87A27">
          <w:t>7</w:t>
        </w:r>
        <w:r>
          <w:fldChar w:fldCharType="end"/>
        </w:r>
      </w:hyperlink>
    </w:p>
    <w:p w:rsidR="00683742" w:rsidRDefault="00701FD7">
      <w:pPr>
        <w:pStyle w:val="3"/>
        <w:tabs>
          <w:tab w:val="right" w:leader="dot" w:pos="8306"/>
        </w:tabs>
        <w:spacing w:line="312" w:lineRule="auto"/>
      </w:pPr>
      <w:hyperlink w:anchor="_Toc12790" w:history="1">
        <w:r w:rsidR="00F87A27">
          <w:rPr>
            <w:rFonts w:ascii="黑体" w:eastAsia="黑体" w:hAnsi="黑体" w:cs="Times New Roman" w:hint="eastAsia"/>
            <w:kern w:val="0"/>
            <w:szCs w:val="24"/>
          </w:rPr>
          <w:t>一、基础资料</w:t>
        </w:r>
        <w:r w:rsidR="00F87A27">
          <w:tab/>
        </w:r>
        <w:r>
          <w:fldChar w:fldCharType="begin"/>
        </w:r>
        <w:r w:rsidR="00F87A27">
          <w:instrText xml:space="preserve"> PAGEREF _Toc12790 </w:instrText>
        </w:r>
        <w:r>
          <w:fldChar w:fldCharType="separate"/>
        </w:r>
        <w:r w:rsidR="00F87A27">
          <w:t>7</w:t>
        </w:r>
        <w:r>
          <w:fldChar w:fldCharType="end"/>
        </w:r>
      </w:hyperlink>
    </w:p>
    <w:p w:rsidR="00683742" w:rsidRDefault="00701FD7">
      <w:pPr>
        <w:pStyle w:val="3"/>
        <w:tabs>
          <w:tab w:val="right" w:leader="dot" w:pos="8306"/>
        </w:tabs>
        <w:spacing w:line="312" w:lineRule="auto"/>
      </w:pPr>
      <w:hyperlink w:anchor="_Toc26435" w:history="1">
        <w:r w:rsidR="00F87A27">
          <w:rPr>
            <w:rFonts w:ascii="黑体" w:eastAsia="黑体" w:hAnsi="黑体" w:cs="黑体" w:hint="eastAsia"/>
            <w:szCs w:val="24"/>
          </w:rPr>
          <w:t>二、财务类资料</w:t>
        </w:r>
        <w:r w:rsidR="00F87A27">
          <w:tab/>
        </w:r>
        <w:r>
          <w:fldChar w:fldCharType="begin"/>
        </w:r>
        <w:r w:rsidR="00F87A27">
          <w:instrText xml:space="preserve"> PAGEREF _Toc26435 </w:instrText>
        </w:r>
        <w:r>
          <w:fldChar w:fldCharType="separate"/>
        </w:r>
        <w:r w:rsidR="00F87A27">
          <w:t>7</w:t>
        </w:r>
        <w:r>
          <w:fldChar w:fldCharType="end"/>
        </w:r>
      </w:hyperlink>
    </w:p>
    <w:p w:rsidR="00683742" w:rsidRDefault="00701FD7">
      <w:pPr>
        <w:pStyle w:val="2"/>
        <w:tabs>
          <w:tab w:val="right" w:leader="dot" w:pos="8306"/>
        </w:tabs>
        <w:spacing w:line="312" w:lineRule="auto"/>
      </w:pPr>
      <w:hyperlink w:anchor="_Toc26463" w:history="1">
        <w:r w:rsidR="00F87A27">
          <w:rPr>
            <w:rFonts w:ascii="黑体" w:eastAsia="黑体" w:hAnsi="黑体" w:hint="eastAsia"/>
          </w:rPr>
          <w:t>第二部分：收入审核程序及审核要点</w:t>
        </w:r>
        <w:r w:rsidR="00F87A27">
          <w:tab/>
        </w:r>
        <w:r>
          <w:fldChar w:fldCharType="begin"/>
        </w:r>
        <w:r w:rsidR="00F87A27">
          <w:instrText xml:space="preserve"> PAGEREF _Toc26463 </w:instrText>
        </w:r>
        <w:r>
          <w:fldChar w:fldCharType="separate"/>
        </w:r>
        <w:r w:rsidR="00F87A27">
          <w:t>9</w:t>
        </w:r>
        <w:r>
          <w:fldChar w:fldCharType="end"/>
        </w:r>
      </w:hyperlink>
    </w:p>
    <w:p w:rsidR="00683742" w:rsidRDefault="00701FD7">
      <w:pPr>
        <w:pStyle w:val="4"/>
        <w:tabs>
          <w:tab w:val="right" w:leader="dot" w:pos="8306"/>
        </w:tabs>
        <w:spacing w:line="312" w:lineRule="auto"/>
      </w:pPr>
      <w:hyperlink w:anchor="_Toc23278" w:history="1">
        <w:r w:rsidR="00F87A27">
          <w:rPr>
            <w:rFonts w:ascii="黑体" w:eastAsia="黑体" w:hAnsi="黑体" w:hint="eastAsia"/>
          </w:rPr>
          <w:t>1、收入审核的基本原则与方法</w:t>
        </w:r>
        <w:r w:rsidR="00F87A27">
          <w:tab/>
        </w:r>
        <w:r>
          <w:fldChar w:fldCharType="begin"/>
        </w:r>
        <w:r w:rsidR="00F87A27">
          <w:instrText xml:space="preserve"> PAGEREF _Toc23278 </w:instrText>
        </w:r>
        <w:r>
          <w:fldChar w:fldCharType="separate"/>
        </w:r>
        <w:r w:rsidR="00F87A27">
          <w:t>9</w:t>
        </w:r>
        <w:r>
          <w:fldChar w:fldCharType="end"/>
        </w:r>
      </w:hyperlink>
    </w:p>
    <w:p w:rsidR="00683742" w:rsidRDefault="00701FD7">
      <w:pPr>
        <w:pStyle w:val="4"/>
        <w:tabs>
          <w:tab w:val="right" w:leader="dot" w:pos="8306"/>
        </w:tabs>
        <w:spacing w:line="312" w:lineRule="auto"/>
      </w:pPr>
      <w:hyperlink w:anchor="_Toc26824" w:history="1">
        <w:r w:rsidR="00F87A27">
          <w:rPr>
            <w:rFonts w:ascii="黑体" w:eastAsia="黑体" w:hAnsi="黑体" w:hint="eastAsia"/>
          </w:rPr>
          <w:t>2、主营业务收入的审核</w:t>
        </w:r>
        <w:r w:rsidR="00F87A27">
          <w:tab/>
        </w:r>
        <w:r>
          <w:fldChar w:fldCharType="begin"/>
        </w:r>
        <w:r w:rsidR="00F87A27">
          <w:instrText xml:space="preserve"> PAGEREF _Toc26824 </w:instrText>
        </w:r>
        <w:r>
          <w:fldChar w:fldCharType="separate"/>
        </w:r>
        <w:r w:rsidR="00F87A27">
          <w:t>9</w:t>
        </w:r>
        <w:r>
          <w:fldChar w:fldCharType="end"/>
        </w:r>
      </w:hyperlink>
    </w:p>
    <w:p w:rsidR="00683742" w:rsidRDefault="00701FD7">
      <w:pPr>
        <w:pStyle w:val="4"/>
        <w:tabs>
          <w:tab w:val="right" w:leader="dot" w:pos="8306"/>
        </w:tabs>
        <w:spacing w:line="312" w:lineRule="auto"/>
      </w:pPr>
      <w:hyperlink w:anchor="_Toc31001" w:history="1">
        <w:r w:rsidR="00F87A27">
          <w:rPr>
            <w:rFonts w:ascii="黑体" w:eastAsia="黑体" w:hAnsi="黑体" w:hint="eastAsia"/>
          </w:rPr>
          <w:t>3、其他业务收入的审核</w:t>
        </w:r>
        <w:r w:rsidR="00F87A27">
          <w:tab/>
        </w:r>
        <w:r>
          <w:fldChar w:fldCharType="begin"/>
        </w:r>
        <w:r w:rsidR="00F87A27">
          <w:instrText xml:space="preserve"> PAGEREF _Toc31001 </w:instrText>
        </w:r>
        <w:r>
          <w:fldChar w:fldCharType="separate"/>
        </w:r>
        <w:r w:rsidR="00F87A27">
          <w:t>10</w:t>
        </w:r>
        <w:r>
          <w:fldChar w:fldCharType="end"/>
        </w:r>
      </w:hyperlink>
    </w:p>
    <w:p w:rsidR="00683742" w:rsidRDefault="00701FD7">
      <w:pPr>
        <w:pStyle w:val="4"/>
        <w:tabs>
          <w:tab w:val="right" w:leader="dot" w:pos="8306"/>
        </w:tabs>
        <w:spacing w:line="312" w:lineRule="auto"/>
      </w:pPr>
      <w:hyperlink w:anchor="_Toc61" w:history="1">
        <w:r w:rsidR="00F87A27">
          <w:rPr>
            <w:rFonts w:ascii="黑体" w:eastAsia="黑体" w:hAnsi="黑体" w:hint="eastAsia"/>
          </w:rPr>
          <w:t>4、补贴收入的审核</w:t>
        </w:r>
        <w:r w:rsidR="00F87A27">
          <w:tab/>
        </w:r>
        <w:r>
          <w:fldChar w:fldCharType="begin"/>
        </w:r>
        <w:r w:rsidR="00F87A27">
          <w:instrText xml:space="preserve"> PAGEREF _Toc61 </w:instrText>
        </w:r>
        <w:r>
          <w:fldChar w:fldCharType="separate"/>
        </w:r>
        <w:r w:rsidR="00F87A27">
          <w:t>11</w:t>
        </w:r>
        <w:r>
          <w:fldChar w:fldCharType="end"/>
        </w:r>
      </w:hyperlink>
    </w:p>
    <w:p w:rsidR="00683742" w:rsidRDefault="00701FD7">
      <w:pPr>
        <w:pStyle w:val="4"/>
        <w:tabs>
          <w:tab w:val="right" w:leader="dot" w:pos="8306"/>
        </w:tabs>
        <w:spacing w:line="312" w:lineRule="auto"/>
      </w:pPr>
      <w:hyperlink w:anchor="_Toc20858" w:history="1">
        <w:r w:rsidR="00F87A27">
          <w:rPr>
            <w:rFonts w:ascii="黑体" w:eastAsia="黑体" w:hAnsi="黑体" w:hint="eastAsia"/>
          </w:rPr>
          <w:t>5、视同销售收入的审核</w:t>
        </w:r>
        <w:r w:rsidR="00F87A27">
          <w:tab/>
        </w:r>
        <w:r>
          <w:fldChar w:fldCharType="begin"/>
        </w:r>
        <w:r w:rsidR="00F87A27">
          <w:instrText xml:space="preserve"> PAGEREF _Toc20858 </w:instrText>
        </w:r>
        <w:r>
          <w:fldChar w:fldCharType="separate"/>
        </w:r>
        <w:r w:rsidR="00F87A27">
          <w:t>11</w:t>
        </w:r>
        <w:r>
          <w:fldChar w:fldCharType="end"/>
        </w:r>
      </w:hyperlink>
    </w:p>
    <w:p w:rsidR="00683742" w:rsidRDefault="00701FD7">
      <w:pPr>
        <w:pStyle w:val="2"/>
        <w:tabs>
          <w:tab w:val="right" w:leader="dot" w:pos="8306"/>
        </w:tabs>
        <w:spacing w:line="312" w:lineRule="auto"/>
      </w:pPr>
      <w:hyperlink w:anchor="_Toc15602" w:history="1">
        <w:r w:rsidR="00F87A27">
          <w:rPr>
            <w:rFonts w:ascii="黑体" w:eastAsia="黑体" w:hAnsi="黑体" w:hint="eastAsia"/>
          </w:rPr>
          <w:t>第三部分：成本审核程序及审核要点</w:t>
        </w:r>
        <w:r w:rsidR="00F87A27">
          <w:tab/>
        </w:r>
        <w:r>
          <w:fldChar w:fldCharType="begin"/>
        </w:r>
        <w:r w:rsidR="00F87A27">
          <w:instrText xml:space="preserve"> PAGEREF _Toc15602 </w:instrText>
        </w:r>
        <w:r>
          <w:fldChar w:fldCharType="separate"/>
        </w:r>
        <w:r w:rsidR="00F87A27">
          <w:t>12</w:t>
        </w:r>
        <w:r>
          <w:fldChar w:fldCharType="end"/>
        </w:r>
      </w:hyperlink>
    </w:p>
    <w:p w:rsidR="00683742" w:rsidRDefault="00701FD7">
      <w:pPr>
        <w:pStyle w:val="4"/>
        <w:tabs>
          <w:tab w:val="right" w:leader="dot" w:pos="8306"/>
        </w:tabs>
        <w:spacing w:line="312" w:lineRule="auto"/>
      </w:pPr>
      <w:hyperlink w:anchor="_Toc25453" w:history="1">
        <w:r w:rsidR="00F87A27">
          <w:rPr>
            <w:rFonts w:ascii="黑体" w:eastAsia="黑体" w:hAnsi="黑体" w:hint="eastAsia"/>
          </w:rPr>
          <w:t>1、成本费用审核的基本原则与方法</w:t>
        </w:r>
        <w:r w:rsidR="00F87A27">
          <w:tab/>
        </w:r>
        <w:r>
          <w:fldChar w:fldCharType="begin"/>
        </w:r>
        <w:r w:rsidR="00F87A27">
          <w:instrText xml:space="preserve"> PAGEREF _Toc25453 </w:instrText>
        </w:r>
        <w:r>
          <w:fldChar w:fldCharType="separate"/>
        </w:r>
        <w:r w:rsidR="00F87A27">
          <w:t>12</w:t>
        </w:r>
        <w:r>
          <w:fldChar w:fldCharType="end"/>
        </w:r>
      </w:hyperlink>
    </w:p>
    <w:p w:rsidR="00683742" w:rsidRDefault="00701FD7">
      <w:pPr>
        <w:pStyle w:val="4"/>
        <w:tabs>
          <w:tab w:val="right" w:leader="dot" w:pos="8306"/>
        </w:tabs>
        <w:spacing w:line="312" w:lineRule="auto"/>
      </w:pPr>
      <w:hyperlink w:anchor="_Toc25090" w:history="1">
        <w:r w:rsidR="00F87A27">
          <w:rPr>
            <w:rFonts w:ascii="黑体" w:eastAsia="黑体" w:hAnsi="黑体" w:hint="eastAsia"/>
          </w:rPr>
          <w:t>2、主营业务成本的审核程序（以工业企业生产成本为例）</w:t>
        </w:r>
        <w:r w:rsidR="00F87A27">
          <w:tab/>
        </w:r>
        <w:r>
          <w:fldChar w:fldCharType="begin"/>
        </w:r>
        <w:r w:rsidR="00F87A27">
          <w:instrText xml:space="preserve"> PAGEREF _Toc25090 </w:instrText>
        </w:r>
        <w:r>
          <w:fldChar w:fldCharType="separate"/>
        </w:r>
        <w:r w:rsidR="00F87A27">
          <w:t>12</w:t>
        </w:r>
        <w:r>
          <w:fldChar w:fldCharType="end"/>
        </w:r>
      </w:hyperlink>
    </w:p>
    <w:p w:rsidR="00683742" w:rsidRDefault="00701FD7">
      <w:pPr>
        <w:pStyle w:val="4"/>
        <w:tabs>
          <w:tab w:val="right" w:leader="dot" w:pos="8306"/>
        </w:tabs>
        <w:spacing w:line="312" w:lineRule="auto"/>
      </w:pPr>
      <w:hyperlink w:anchor="_Toc18978" w:history="1">
        <w:r w:rsidR="00F87A27">
          <w:rPr>
            <w:rFonts w:ascii="黑体" w:eastAsia="黑体" w:hAnsi="黑体" w:hint="eastAsia"/>
          </w:rPr>
          <w:t>3、其他业务支出的审核</w:t>
        </w:r>
        <w:r w:rsidR="00F87A27">
          <w:tab/>
        </w:r>
        <w:r>
          <w:fldChar w:fldCharType="begin"/>
        </w:r>
        <w:r w:rsidR="00F87A27">
          <w:instrText xml:space="preserve"> PAGEREF _Toc18978 </w:instrText>
        </w:r>
        <w:r>
          <w:fldChar w:fldCharType="separate"/>
        </w:r>
        <w:r w:rsidR="00F87A27">
          <w:t>15</w:t>
        </w:r>
        <w:r>
          <w:fldChar w:fldCharType="end"/>
        </w:r>
      </w:hyperlink>
    </w:p>
    <w:p w:rsidR="00683742" w:rsidRDefault="00701FD7">
      <w:pPr>
        <w:pStyle w:val="4"/>
        <w:tabs>
          <w:tab w:val="right" w:leader="dot" w:pos="8306"/>
        </w:tabs>
        <w:spacing w:line="312" w:lineRule="auto"/>
      </w:pPr>
      <w:hyperlink w:anchor="_Toc30806" w:history="1">
        <w:r w:rsidR="00F87A27">
          <w:rPr>
            <w:rFonts w:ascii="黑体" w:eastAsia="黑体" w:hAnsi="黑体" w:hint="eastAsia"/>
          </w:rPr>
          <w:t>4、视同销售成本的审核</w:t>
        </w:r>
        <w:r w:rsidR="00F87A27">
          <w:tab/>
        </w:r>
        <w:r>
          <w:fldChar w:fldCharType="begin"/>
        </w:r>
        <w:r w:rsidR="00F87A27">
          <w:instrText xml:space="preserve"> PAGEREF _Toc30806 </w:instrText>
        </w:r>
        <w:r>
          <w:fldChar w:fldCharType="separate"/>
        </w:r>
        <w:r w:rsidR="00F87A27">
          <w:t>15</w:t>
        </w:r>
        <w:r>
          <w:fldChar w:fldCharType="end"/>
        </w:r>
      </w:hyperlink>
    </w:p>
    <w:p w:rsidR="00683742" w:rsidRDefault="00701FD7">
      <w:pPr>
        <w:pStyle w:val="2"/>
        <w:tabs>
          <w:tab w:val="right" w:leader="dot" w:pos="8306"/>
        </w:tabs>
        <w:spacing w:line="312" w:lineRule="auto"/>
      </w:pPr>
      <w:hyperlink w:anchor="_Toc17264" w:history="1">
        <w:r w:rsidR="00F87A27">
          <w:rPr>
            <w:rFonts w:ascii="黑体" w:eastAsia="黑体" w:hAnsi="黑体" w:hint="eastAsia"/>
          </w:rPr>
          <w:t>第四部分：投资收益非接触审核要点</w:t>
        </w:r>
        <w:r w:rsidR="00F87A27">
          <w:tab/>
        </w:r>
        <w:r>
          <w:fldChar w:fldCharType="begin"/>
        </w:r>
        <w:r w:rsidR="00F87A27">
          <w:instrText xml:space="preserve"> PAGEREF _Toc17264 </w:instrText>
        </w:r>
        <w:r>
          <w:fldChar w:fldCharType="separate"/>
        </w:r>
        <w:r w:rsidR="00F87A27">
          <w:t>15</w:t>
        </w:r>
        <w:r>
          <w:fldChar w:fldCharType="end"/>
        </w:r>
      </w:hyperlink>
    </w:p>
    <w:p w:rsidR="00683742" w:rsidRDefault="00701FD7">
      <w:pPr>
        <w:pStyle w:val="2"/>
        <w:tabs>
          <w:tab w:val="right" w:leader="dot" w:pos="8306"/>
        </w:tabs>
        <w:spacing w:line="312" w:lineRule="auto"/>
      </w:pPr>
      <w:hyperlink w:anchor="_Toc1202" w:history="1">
        <w:r w:rsidR="00F87A27">
          <w:rPr>
            <w:rFonts w:ascii="黑体" w:eastAsia="黑体" w:hAnsi="黑体" w:hint="eastAsia"/>
          </w:rPr>
          <w:t>第五部分：三项费用非接触审核程序及审核要点</w:t>
        </w:r>
        <w:r w:rsidR="00F87A27">
          <w:tab/>
        </w:r>
        <w:r>
          <w:fldChar w:fldCharType="begin"/>
        </w:r>
        <w:r w:rsidR="00F87A27">
          <w:instrText xml:space="preserve"> PAGEREF _Toc1202 </w:instrText>
        </w:r>
        <w:r>
          <w:fldChar w:fldCharType="separate"/>
        </w:r>
        <w:r w:rsidR="00F87A27">
          <w:t>16</w:t>
        </w:r>
        <w:r>
          <w:fldChar w:fldCharType="end"/>
        </w:r>
      </w:hyperlink>
    </w:p>
    <w:p w:rsidR="00683742" w:rsidRDefault="00701FD7">
      <w:pPr>
        <w:pStyle w:val="3"/>
        <w:tabs>
          <w:tab w:val="right" w:leader="dot" w:pos="8306"/>
        </w:tabs>
        <w:spacing w:line="312" w:lineRule="auto"/>
      </w:pPr>
      <w:hyperlink w:anchor="_Toc11818" w:history="1">
        <w:r w:rsidR="00F87A27">
          <w:rPr>
            <w:rFonts w:ascii="黑体" w:eastAsia="黑体" w:hAnsi="黑体" w:hint="eastAsia"/>
            <w:bCs/>
          </w:rPr>
          <w:t>一、管理费用审核程序</w:t>
        </w:r>
        <w:r w:rsidR="00F87A27">
          <w:tab/>
        </w:r>
        <w:r>
          <w:fldChar w:fldCharType="begin"/>
        </w:r>
        <w:r w:rsidR="00F87A27">
          <w:instrText xml:space="preserve"> PAGEREF _Toc11818 </w:instrText>
        </w:r>
        <w:r>
          <w:fldChar w:fldCharType="separate"/>
        </w:r>
        <w:r w:rsidR="00F87A27">
          <w:t>16</w:t>
        </w:r>
        <w:r>
          <w:fldChar w:fldCharType="end"/>
        </w:r>
      </w:hyperlink>
    </w:p>
    <w:p w:rsidR="00683742" w:rsidRDefault="00701FD7">
      <w:pPr>
        <w:pStyle w:val="3"/>
        <w:tabs>
          <w:tab w:val="right" w:leader="dot" w:pos="8306"/>
        </w:tabs>
        <w:spacing w:line="312" w:lineRule="auto"/>
      </w:pPr>
      <w:hyperlink w:anchor="_Toc11063" w:history="1">
        <w:r w:rsidR="00F87A27">
          <w:rPr>
            <w:rFonts w:ascii="黑体" w:eastAsia="黑体" w:hAnsi="黑体" w:hint="eastAsia"/>
            <w:bCs/>
          </w:rPr>
          <w:t>二、销售费用审核程序</w:t>
        </w:r>
        <w:r w:rsidR="00F87A27">
          <w:tab/>
        </w:r>
        <w:r>
          <w:fldChar w:fldCharType="begin"/>
        </w:r>
        <w:r w:rsidR="00F87A27">
          <w:instrText xml:space="preserve"> PAGEREF _Toc11063 </w:instrText>
        </w:r>
        <w:r>
          <w:fldChar w:fldCharType="separate"/>
        </w:r>
        <w:r w:rsidR="00F87A27">
          <w:t>17</w:t>
        </w:r>
        <w:r>
          <w:fldChar w:fldCharType="end"/>
        </w:r>
      </w:hyperlink>
    </w:p>
    <w:p w:rsidR="00683742" w:rsidRDefault="00701FD7">
      <w:pPr>
        <w:pStyle w:val="3"/>
        <w:tabs>
          <w:tab w:val="right" w:leader="dot" w:pos="8306"/>
        </w:tabs>
        <w:spacing w:line="312" w:lineRule="auto"/>
      </w:pPr>
      <w:hyperlink w:anchor="_Toc17443" w:history="1">
        <w:r w:rsidR="00F87A27">
          <w:rPr>
            <w:rFonts w:ascii="黑体" w:eastAsia="黑体" w:hAnsi="黑体" w:hint="eastAsia"/>
            <w:bCs/>
          </w:rPr>
          <w:t>三、财务费用审核程序</w:t>
        </w:r>
        <w:r w:rsidR="00F87A27">
          <w:tab/>
        </w:r>
        <w:r>
          <w:fldChar w:fldCharType="begin"/>
        </w:r>
        <w:r w:rsidR="00F87A27">
          <w:instrText xml:space="preserve"> PAGEREF _Toc17443 </w:instrText>
        </w:r>
        <w:r>
          <w:fldChar w:fldCharType="separate"/>
        </w:r>
        <w:r w:rsidR="00F87A27">
          <w:t>19</w:t>
        </w:r>
        <w:r>
          <w:fldChar w:fldCharType="end"/>
        </w:r>
      </w:hyperlink>
    </w:p>
    <w:p w:rsidR="00683742" w:rsidRDefault="00701FD7">
      <w:pPr>
        <w:pStyle w:val="3"/>
        <w:tabs>
          <w:tab w:val="right" w:leader="dot" w:pos="8306"/>
        </w:tabs>
        <w:spacing w:line="312" w:lineRule="auto"/>
      </w:pPr>
      <w:hyperlink w:anchor="_Toc5080" w:history="1">
        <w:r w:rsidR="00F87A27">
          <w:rPr>
            <w:rFonts w:ascii="黑体" w:eastAsia="黑体" w:hAnsi="黑体" w:hint="eastAsia"/>
            <w:bCs/>
            <w:szCs w:val="24"/>
          </w:rPr>
          <w:t>四、扣除类调整项目审核要点</w:t>
        </w:r>
        <w:r w:rsidR="00F87A27">
          <w:tab/>
        </w:r>
        <w:r>
          <w:fldChar w:fldCharType="begin"/>
        </w:r>
        <w:r w:rsidR="00F87A27">
          <w:instrText xml:space="preserve"> PAGEREF _Toc5080 </w:instrText>
        </w:r>
        <w:r>
          <w:fldChar w:fldCharType="separate"/>
        </w:r>
        <w:r w:rsidR="00F87A27">
          <w:t>21</w:t>
        </w:r>
        <w:r>
          <w:fldChar w:fldCharType="end"/>
        </w:r>
      </w:hyperlink>
    </w:p>
    <w:p w:rsidR="00683742" w:rsidRDefault="00701FD7">
      <w:pPr>
        <w:pStyle w:val="4"/>
        <w:tabs>
          <w:tab w:val="right" w:leader="dot" w:pos="8306"/>
        </w:tabs>
        <w:spacing w:line="312" w:lineRule="auto"/>
      </w:pPr>
      <w:hyperlink w:anchor="_Toc13635" w:history="1">
        <w:r w:rsidR="00F87A27">
          <w:rPr>
            <w:rFonts w:ascii="黑体" w:eastAsia="黑体" w:hAnsi="黑体"/>
            <w:szCs w:val="24"/>
          </w:rPr>
          <w:t>1</w:t>
        </w:r>
        <w:r w:rsidR="00F87A27">
          <w:rPr>
            <w:rFonts w:ascii="黑体" w:eastAsia="黑体" w:hAnsi="黑体" w:hint="eastAsia"/>
            <w:szCs w:val="24"/>
          </w:rPr>
          <w:t>、业务招待费审核要点</w:t>
        </w:r>
        <w:r w:rsidR="00F87A27">
          <w:tab/>
        </w:r>
        <w:r>
          <w:fldChar w:fldCharType="begin"/>
        </w:r>
        <w:r w:rsidR="00F87A27">
          <w:instrText xml:space="preserve"> PAGEREF _Toc13635 </w:instrText>
        </w:r>
        <w:r>
          <w:fldChar w:fldCharType="separate"/>
        </w:r>
        <w:r w:rsidR="00F87A27">
          <w:t>21</w:t>
        </w:r>
        <w:r>
          <w:fldChar w:fldCharType="end"/>
        </w:r>
      </w:hyperlink>
    </w:p>
    <w:p w:rsidR="00683742" w:rsidRDefault="00701FD7">
      <w:pPr>
        <w:pStyle w:val="4"/>
        <w:tabs>
          <w:tab w:val="right" w:leader="dot" w:pos="8306"/>
        </w:tabs>
        <w:spacing w:line="312" w:lineRule="auto"/>
      </w:pPr>
      <w:hyperlink w:anchor="_Toc16275" w:history="1">
        <w:r w:rsidR="00F87A27">
          <w:rPr>
            <w:rFonts w:ascii="黑体" w:eastAsia="黑体" w:hAnsi="黑体"/>
            <w:szCs w:val="24"/>
          </w:rPr>
          <w:t>2</w:t>
        </w:r>
        <w:r w:rsidR="00F87A27">
          <w:rPr>
            <w:rFonts w:ascii="黑体" w:eastAsia="黑体" w:hAnsi="黑体" w:hint="eastAsia"/>
            <w:szCs w:val="24"/>
          </w:rPr>
          <w:t>、广告费和业务宣传费审核要点</w:t>
        </w:r>
        <w:r w:rsidR="00F87A27">
          <w:tab/>
        </w:r>
        <w:r>
          <w:fldChar w:fldCharType="begin"/>
        </w:r>
        <w:r w:rsidR="00F87A27">
          <w:instrText xml:space="preserve"> PAGEREF _Toc16275 </w:instrText>
        </w:r>
        <w:r>
          <w:fldChar w:fldCharType="separate"/>
        </w:r>
        <w:r w:rsidR="00F87A27">
          <w:t>21</w:t>
        </w:r>
        <w:r>
          <w:fldChar w:fldCharType="end"/>
        </w:r>
      </w:hyperlink>
    </w:p>
    <w:p w:rsidR="00683742" w:rsidRDefault="00701FD7">
      <w:pPr>
        <w:pStyle w:val="4"/>
        <w:tabs>
          <w:tab w:val="right" w:leader="dot" w:pos="8306"/>
        </w:tabs>
        <w:spacing w:line="312" w:lineRule="auto"/>
      </w:pPr>
      <w:hyperlink w:anchor="_Toc13406" w:history="1">
        <w:r w:rsidR="00F87A27">
          <w:rPr>
            <w:rFonts w:ascii="黑体" w:eastAsia="黑体" w:hAnsi="黑体"/>
            <w:szCs w:val="24"/>
          </w:rPr>
          <w:t>3</w:t>
        </w:r>
        <w:r w:rsidR="00F87A27">
          <w:rPr>
            <w:rFonts w:ascii="黑体" w:eastAsia="黑体" w:hAnsi="黑体" w:hint="eastAsia"/>
            <w:szCs w:val="24"/>
          </w:rPr>
          <w:t>、租赁支出审核要点</w:t>
        </w:r>
        <w:r w:rsidR="00F87A27">
          <w:tab/>
        </w:r>
        <w:r>
          <w:fldChar w:fldCharType="begin"/>
        </w:r>
        <w:r w:rsidR="00F87A27">
          <w:instrText xml:space="preserve"> PAGEREF _Toc13406 </w:instrText>
        </w:r>
        <w:r>
          <w:fldChar w:fldCharType="separate"/>
        </w:r>
        <w:r w:rsidR="00F87A27">
          <w:t>22</w:t>
        </w:r>
        <w:r>
          <w:fldChar w:fldCharType="end"/>
        </w:r>
      </w:hyperlink>
    </w:p>
    <w:p w:rsidR="00683742" w:rsidRDefault="00701FD7">
      <w:pPr>
        <w:pStyle w:val="4"/>
        <w:tabs>
          <w:tab w:val="right" w:leader="dot" w:pos="8306"/>
        </w:tabs>
        <w:spacing w:line="312" w:lineRule="auto"/>
      </w:pPr>
      <w:hyperlink w:anchor="_Toc15479" w:history="1">
        <w:r w:rsidR="00F87A27">
          <w:rPr>
            <w:rFonts w:ascii="黑体" w:eastAsia="黑体" w:hAnsi="黑体"/>
            <w:szCs w:val="24"/>
          </w:rPr>
          <w:t>4</w:t>
        </w:r>
        <w:r w:rsidR="00F87A27">
          <w:rPr>
            <w:rFonts w:ascii="黑体" w:eastAsia="黑体" w:hAnsi="黑体" w:hint="eastAsia"/>
            <w:szCs w:val="24"/>
          </w:rPr>
          <w:t>、利息支出审核要点</w:t>
        </w:r>
        <w:r w:rsidR="00F87A27">
          <w:tab/>
        </w:r>
        <w:r>
          <w:fldChar w:fldCharType="begin"/>
        </w:r>
        <w:r w:rsidR="00F87A27">
          <w:instrText xml:space="preserve"> PAGEREF _Toc15479 </w:instrText>
        </w:r>
        <w:r>
          <w:fldChar w:fldCharType="separate"/>
        </w:r>
        <w:r w:rsidR="00F87A27">
          <w:t>22</w:t>
        </w:r>
        <w:r>
          <w:fldChar w:fldCharType="end"/>
        </w:r>
      </w:hyperlink>
    </w:p>
    <w:p w:rsidR="00683742" w:rsidRDefault="00701FD7">
      <w:pPr>
        <w:pStyle w:val="4"/>
        <w:tabs>
          <w:tab w:val="right" w:leader="dot" w:pos="8306"/>
        </w:tabs>
        <w:spacing w:line="312" w:lineRule="auto"/>
      </w:pPr>
      <w:hyperlink w:anchor="_Toc19374" w:history="1">
        <w:r w:rsidR="00F87A27">
          <w:rPr>
            <w:rFonts w:ascii="黑体" w:eastAsia="黑体" w:hAnsi="黑体"/>
            <w:szCs w:val="24"/>
          </w:rPr>
          <w:t>5</w:t>
        </w:r>
        <w:r w:rsidR="00F87A27">
          <w:rPr>
            <w:rFonts w:ascii="黑体" w:eastAsia="黑体" w:hAnsi="黑体" w:hint="eastAsia"/>
            <w:szCs w:val="24"/>
          </w:rPr>
          <w:t>、佣金和手续费支出审核要点</w:t>
        </w:r>
        <w:r w:rsidR="00F87A27">
          <w:tab/>
        </w:r>
        <w:r>
          <w:fldChar w:fldCharType="begin"/>
        </w:r>
        <w:r w:rsidR="00F87A27">
          <w:instrText xml:space="preserve"> PAGEREF _Toc19374 </w:instrText>
        </w:r>
        <w:r>
          <w:fldChar w:fldCharType="separate"/>
        </w:r>
        <w:r w:rsidR="00F87A27">
          <w:t>23</w:t>
        </w:r>
        <w:r>
          <w:fldChar w:fldCharType="end"/>
        </w:r>
      </w:hyperlink>
    </w:p>
    <w:p w:rsidR="00683742" w:rsidRDefault="00701FD7">
      <w:pPr>
        <w:pStyle w:val="4"/>
        <w:tabs>
          <w:tab w:val="right" w:leader="dot" w:pos="8306"/>
        </w:tabs>
        <w:spacing w:line="312" w:lineRule="auto"/>
      </w:pPr>
      <w:hyperlink w:anchor="_Toc22195" w:history="1">
        <w:r w:rsidR="00F87A27">
          <w:rPr>
            <w:rFonts w:ascii="黑体" w:eastAsia="黑体" w:hAnsi="黑体"/>
            <w:szCs w:val="24"/>
          </w:rPr>
          <w:t>6</w:t>
        </w:r>
        <w:r w:rsidR="00F87A27">
          <w:rPr>
            <w:rFonts w:ascii="黑体" w:eastAsia="黑体" w:hAnsi="黑体" w:hint="eastAsia"/>
            <w:szCs w:val="24"/>
          </w:rPr>
          <w:t>、赞助支出审核要点</w:t>
        </w:r>
        <w:r w:rsidR="00F87A27">
          <w:tab/>
        </w:r>
        <w:r>
          <w:fldChar w:fldCharType="begin"/>
        </w:r>
        <w:r w:rsidR="00F87A27">
          <w:instrText xml:space="preserve"> PAGEREF _Toc22195 </w:instrText>
        </w:r>
        <w:r>
          <w:fldChar w:fldCharType="separate"/>
        </w:r>
        <w:r w:rsidR="00F87A27">
          <w:t>23</w:t>
        </w:r>
        <w:r>
          <w:fldChar w:fldCharType="end"/>
        </w:r>
      </w:hyperlink>
    </w:p>
    <w:p w:rsidR="00683742" w:rsidRDefault="00701FD7">
      <w:pPr>
        <w:pStyle w:val="4"/>
        <w:tabs>
          <w:tab w:val="right" w:leader="dot" w:pos="8306"/>
        </w:tabs>
        <w:spacing w:line="312" w:lineRule="auto"/>
      </w:pPr>
      <w:hyperlink w:anchor="_Toc15895" w:history="1">
        <w:r w:rsidR="00F87A27">
          <w:rPr>
            <w:rFonts w:ascii="黑体" w:eastAsia="黑体" w:hAnsi="黑体"/>
            <w:szCs w:val="24"/>
          </w:rPr>
          <w:t>7</w:t>
        </w:r>
        <w:r w:rsidR="00F87A27">
          <w:rPr>
            <w:rFonts w:ascii="黑体" w:eastAsia="黑体" w:hAnsi="黑体" w:hint="eastAsia"/>
            <w:szCs w:val="24"/>
          </w:rPr>
          <w:t>、跨期扣除项目审核要点</w:t>
        </w:r>
        <w:r w:rsidR="00F87A27">
          <w:tab/>
        </w:r>
        <w:r>
          <w:fldChar w:fldCharType="begin"/>
        </w:r>
        <w:r w:rsidR="00F87A27">
          <w:instrText xml:space="preserve"> PAGEREF _Toc15895 </w:instrText>
        </w:r>
        <w:r>
          <w:fldChar w:fldCharType="separate"/>
        </w:r>
        <w:r w:rsidR="00F87A27">
          <w:t>24</w:t>
        </w:r>
        <w:r>
          <w:fldChar w:fldCharType="end"/>
        </w:r>
      </w:hyperlink>
    </w:p>
    <w:p w:rsidR="00683742" w:rsidRDefault="00701FD7">
      <w:pPr>
        <w:pStyle w:val="4"/>
        <w:tabs>
          <w:tab w:val="right" w:leader="dot" w:pos="8306"/>
        </w:tabs>
        <w:spacing w:line="312" w:lineRule="auto"/>
      </w:pPr>
      <w:hyperlink w:anchor="_Toc5955" w:history="1">
        <w:r w:rsidR="00F87A27">
          <w:rPr>
            <w:rFonts w:ascii="黑体" w:eastAsia="黑体" w:hAnsi="黑体"/>
            <w:szCs w:val="24"/>
          </w:rPr>
          <w:t>8</w:t>
        </w:r>
        <w:r w:rsidR="00F87A27">
          <w:rPr>
            <w:rFonts w:ascii="黑体" w:eastAsia="黑体" w:hAnsi="黑体" w:hint="eastAsia"/>
            <w:szCs w:val="24"/>
          </w:rPr>
          <w:t>、与取得收入无关的支出审核要点</w:t>
        </w:r>
        <w:r w:rsidR="00F87A27">
          <w:tab/>
        </w:r>
        <w:r>
          <w:fldChar w:fldCharType="begin"/>
        </w:r>
        <w:r w:rsidR="00F87A27">
          <w:instrText xml:space="preserve"> PAGEREF _Toc5955 </w:instrText>
        </w:r>
        <w:r>
          <w:fldChar w:fldCharType="separate"/>
        </w:r>
        <w:r w:rsidR="00F87A27">
          <w:t>24</w:t>
        </w:r>
        <w:r>
          <w:fldChar w:fldCharType="end"/>
        </w:r>
      </w:hyperlink>
    </w:p>
    <w:p w:rsidR="00683742" w:rsidRDefault="00701FD7">
      <w:pPr>
        <w:pStyle w:val="4"/>
        <w:tabs>
          <w:tab w:val="right" w:leader="dot" w:pos="8306"/>
        </w:tabs>
        <w:spacing w:line="312" w:lineRule="auto"/>
      </w:pPr>
      <w:hyperlink w:anchor="_Toc9124" w:history="1">
        <w:r w:rsidR="00F87A27">
          <w:rPr>
            <w:rFonts w:ascii="黑体" w:eastAsia="黑体" w:hAnsi="黑体"/>
            <w:szCs w:val="24"/>
          </w:rPr>
          <w:t>9</w:t>
        </w:r>
        <w:r w:rsidR="00F87A27">
          <w:rPr>
            <w:rFonts w:ascii="黑体" w:eastAsia="黑体" w:hAnsi="黑体" w:hint="eastAsia"/>
            <w:szCs w:val="24"/>
          </w:rPr>
          <w:t>、党组织工作经费审核要点</w:t>
        </w:r>
        <w:r w:rsidR="00F87A27">
          <w:tab/>
        </w:r>
        <w:r>
          <w:fldChar w:fldCharType="begin"/>
        </w:r>
        <w:r w:rsidR="00F87A27">
          <w:instrText xml:space="preserve"> PAGEREF _Toc9124 </w:instrText>
        </w:r>
        <w:r>
          <w:fldChar w:fldCharType="separate"/>
        </w:r>
        <w:r w:rsidR="00F87A27">
          <w:t>24</w:t>
        </w:r>
        <w:r>
          <w:fldChar w:fldCharType="end"/>
        </w:r>
      </w:hyperlink>
    </w:p>
    <w:p w:rsidR="00683742" w:rsidRDefault="00701FD7">
      <w:pPr>
        <w:pStyle w:val="4"/>
        <w:tabs>
          <w:tab w:val="right" w:leader="dot" w:pos="8306"/>
        </w:tabs>
        <w:spacing w:line="312" w:lineRule="auto"/>
      </w:pPr>
      <w:hyperlink w:anchor="_Toc9472" w:history="1">
        <w:r w:rsidR="00F87A27">
          <w:rPr>
            <w:rFonts w:ascii="黑体" w:eastAsia="黑体" w:hAnsi="黑体"/>
            <w:szCs w:val="24"/>
          </w:rPr>
          <w:t>10</w:t>
        </w:r>
        <w:r w:rsidR="00F87A27">
          <w:rPr>
            <w:rFonts w:ascii="黑体" w:eastAsia="黑体" w:hAnsi="黑体" w:hint="eastAsia"/>
            <w:szCs w:val="24"/>
          </w:rPr>
          <w:t>、其他扣除类调整项目审核要点</w:t>
        </w:r>
        <w:r w:rsidR="00F87A27">
          <w:tab/>
        </w:r>
        <w:r>
          <w:fldChar w:fldCharType="begin"/>
        </w:r>
        <w:r w:rsidR="00F87A27">
          <w:instrText xml:space="preserve"> PAGEREF _Toc9472 </w:instrText>
        </w:r>
        <w:r>
          <w:fldChar w:fldCharType="separate"/>
        </w:r>
        <w:r w:rsidR="00F87A27">
          <w:t>24</w:t>
        </w:r>
        <w:r>
          <w:fldChar w:fldCharType="end"/>
        </w:r>
      </w:hyperlink>
    </w:p>
    <w:p w:rsidR="00683742" w:rsidRDefault="00701FD7">
      <w:pPr>
        <w:pStyle w:val="2"/>
        <w:tabs>
          <w:tab w:val="right" w:leader="dot" w:pos="8306"/>
        </w:tabs>
        <w:spacing w:line="312" w:lineRule="auto"/>
      </w:pPr>
      <w:hyperlink w:anchor="_Toc8929" w:history="1">
        <w:r w:rsidR="00F87A27">
          <w:rPr>
            <w:rFonts w:ascii="黑体" w:eastAsia="黑体" w:hAnsi="黑体" w:hint="eastAsia"/>
          </w:rPr>
          <w:t>第六部分：营业外收支及其他项目审核要点</w:t>
        </w:r>
        <w:r w:rsidR="00F87A27">
          <w:tab/>
        </w:r>
        <w:r>
          <w:fldChar w:fldCharType="begin"/>
        </w:r>
        <w:r w:rsidR="00F87A27">
          <w:instrText xml:space="preserve"> PAGEREF _Toc8929 </w:instrText>
        </w:r>
        <w:r>
          <w:fldChar w:fldCharType="separate"/>
        </w:r>
        <w:r w:rsidR="00F87A27">
          <w:t>25</w:t>
        </w:r>
        <w:r>
          <w:fldChar w:fldCharType="end"/>
        </w:r>
      </w:hyperlink>
    </w:p>
    <w:p w:rsidR="00683742" w:rsidRDefault="00701FD7">
      <w:pPr>
        <w:pStyle w:val="3"/>
        <w:tabs>
          <w:tab w:val="right" w:leader="dot" w:pos="8306"/>
        </w:tabs>
        <w:spacing w:line="312" w:lineRule="auto"/>
      </w:pPr>
      <w:hyperlink w:anchor="_Toc785" w:history="1">
        <w:r w:rsidR="00F87A27">
          <w:rPr>
            <w:rFonts w:ascii="黑体" w:eastAsia="黑体" w:hAnsi="黑体" w:hint="eastAsia"/>
            <w:bCs/>
          </w:rPr>
          <w:t>一、营业外收入的审核</w:t>
        </w:r>
        <w:r w:rsidR="007302F8">
          <w:rPr>
            <w:rFonts w:ascii="黑体" w:eastAsia="黑体" w:hAnsi="黑体" w:hint="eastAsia"/>
            <w:bCs/>
          </w:rPr>
          <w:t>要点</w:t>
        </w:r>
        <w:r w:rsidR="00F87A27">
          <w:tab/>
        </w:r>
        <w:r>
          <w:fldChar w:fldCharType="begin"/>
        </w:r>
        <w:r w:rsidR="00F87A27">
          <w:instrText xml:space="preserve"> PAGEREF _Toc785 </w:instrText>
        </w:r>
        <w:r>
          <w:fldChar w:fldCharType="separate"/>
        </w:r>
        <w:r w:rsidR="00F87A27">
          <w:t>25</w:t>
        </w:r>
        <w:r>
          <w:fldChar w:fldCharType="end"/>
        </w:r>
      </w:hyperlink>
    </w:p>
    <w:p w:rsidR="00683742" w:rsidRDefault="00701FD7">
      <w:pPr>
        <w:pStyle w:val="3"/>
        <w:tabs>
          <w:tab w:val="right" w:leader="dot" w:pos="8306"/>
        </w:tabs>
        <w:spacing w:line="312" w:lineRule="auto"/>
      </w:pPr>
      <w:hyperlink w:anchor="_Toc30198" w:history="1">
        <w:r w:rsidR="00F87A27">
          <w:rPr>
            <w:rFonts w:ascii="黑体" w:eastAsia="黑体" w:hAnsi="黑体" w:hint="eastAsia"/>
            <w:bCs/>
          </w:rPr>
          <w:t>二、营业外支出审核要点</w:t>
        </w:r>
        <w:r w:rsidR="00F87A27">
          <w:tab/>
        </w:r>
        <w:r>
          <w:fldChar w:fldCharType="begin"/>
        </w:r>
        <w:r w:rsidR="00F87A27">
          <w:instrText xml:space="preserve"> PAGEREF _Toc30198 </w:instrText>
        </w:r>
        <w:r>
          <w:fldChar w:fldCharType="separate"/>
        </w:r>
        <w:r w:rsidR="00F87A27">
          <w:t>26</w:t>
        </w:r>
        <w:r>
          <w:fldChar w:fldCharType="end"/>
        </w:r>
      </w:hyperlink>
    </w:p>
    <w:p w:rsidR="00683742" w:rsidRDefault="00701FD7">
      <w:pPr>
        <w:pStyle w:val="3"/>
        <w:tabs>
          <w:tab w:val="right" w:leader="dot" w:pos="8306"/>
        </w:tabs>
        <w:spacing w:line="312" w:lineRule="auto"/>
      </w:pPr>
      <w:hyperlink w:anchor="_Toc16408" w:history="1">
        <w:r w:rsidR="00F87A27">
          <w:rPr>
            <w:rFonts w:ascii="黑体" w:eastAsia="黑体" w:hAnsi="黑体" w:hint="eastAsia"/>
            <w:bCs/>
          </w:rPr>
          <w:t>三、研发费用的审核要点</w:t>
        </w:r>
        <w:r w:rsidR="00F87A27">
          <w:tab/>
        </w:r>
        <w:r>
          <w:fldChar w:fldCharType="begin"/>
        </w:r>
        <w:r w:rsidR="00F87A27">
          <w:instrText xml:space="preserve"> PAGEREF _Toc16408 </w:instrText>
        </w:r>
        <w:r>
          <w:fldChar w:fldCharType="separate"/>
        </w:r>
        <w:r w:rsidR="00F87A27">
          <w:t>27</w:t>
        </w:r>
        <w:r>
          <w:fldChar w:fldCharType="end"/>
        </w:r>
      </w:hyperlink>
    </w:p>
    <w:p w:rsidR="00683742" w:rsidRDefault="00701FD7">
      <w:pPr>
        <w:pStyle w:val="3"/>
        <w:tabs>
          <w:tab w:val="right" w:leader="dot" w:pos="8306"/>
        </w:tabs>
        <w:spacing w:line="312" w:lineRule="auto"/>
      </w:pPr>
      <w:hyperlink w:anchor="_Toc8627" w:history="1">
        <w:r w:rsidR="00F87A27">
          <w:rPr>
            <w:rFonts w:ascii="黑体" w:eastAsia="黑体" w:hAnsi="黑体" w:hint="eastAsia"/>
            <w:bCs/>
          </w:rPr>
          <w:t>四、税金及附加审核要点</w:t>
        </w:r>
        <w:r w:rsidR="00F87A27">
          <w:tab/>
        </w:r>
        <w:r>
          <w:fldChar w:fldCharType="begin"/>
        </w:r>
        <w:r w:rsidR="00F87A27">
          <w:instrText xml:space="preserve"> PAGEREF _Toc8627 </w:instrText>
        </w:r>
        <w:r>
          <w:fldChar w:fldCharType="separate"/>
        </w:r>
        <w:r w:rsidR="00F87A27">
          <w:t>30</w:t>
        </w:r>
        <w:r>
          <w:fldChar w:fldCharType="end"/>
        </w:r>
      </w:hyperlink>
    </w:p>
    <w:p w:rsidR="00683742" w:rsidRDefault="00701FD7">
      <w:pPr>
        <w:pStyle w:val="3"/>
        <w:tabs>
          <w:tab w:val="right" w:leader="dot" w:pos="8306"/>
        </w:tabs>
        <w:spacing w:line="312" w:lineRule="auto"/>
      </w:pPr>
      <w:hyperlink w:anchor="_Toc909" w:history="1">
        <w:r w:rsidR="00F87A27">
          <w:rPr>
            <w:rFonts w:ascii="黑体" w:eastAsia="黑体" w:hAnsi="黑体" w:hint="eastAsia"/>
            <w:bCs/>
          </w:rPr>
          <w:t>五、其他收益审核要点</w:t>
        </w:r>
        <w:r w:rsidR="00F87A27">
          <w:tab/>
        </w:r>
        <w:r>
          <w:fldChar w:fldCharType="begin"/>
        </w:r>
        <w:r w:rsidR="00F87A27">
          <w:instrText xml:space="preserve"> PAGEREF _Toc909 </w:instrText>
        </w:r>
        <w:r>
          <w:fldChar w:fldCharType="separate"/>
        </w:r>
        <w:r w:rsidR="00F87A27">
          <w:t>31</w:t>
        </w:r>
        <w:r>
          <w:fldChar w:fldCharType="end"/>
        </w:r>
      </w:hyperlink>
    </w:p>
    <w:p w:rsidR="00683742" w:rsidRDefault="00701FD7">
      <w:pPr>
        <w:pStyle w:val="3"/>
        <w:tabs>
          <w:tab w:val="right" w:leader="dot" w:pos="8306"/>
        </w:tabs>
        <w:spacing w:line="312" w:lineRule="auto"/>
      </w:pPr>
      <w:hyperlink w:anchor="_Toc13809" w:history="1">
        <w:r w:rsidR="00F87A27">
          <w:rPr>
            <w:rFonts w:ascii="黑体" w:eastAsia="黑体" w:hAnsi="黑体" w:hint="eastAsia"/>
            <w:bCs/>
          </w:rPr>
          <w:t>六、资产减值损失审核要点</w:t>
        </w:r>
        <w:r w:rsidR="00F87A27">
          <w:tab/>
        </w:r>
        <w:r>
          <w:fldChar w:fldCharType="begin"/>
        </w:r>
        <w:r w:rsidR="00F87A27">
          <w:instrText xml:space="preserve"> PAGEREF _Toc13809 </w:instrText>
        </w:r>
        <w:r>
          <w:fldChar w:fldCharType="separate"/>
        </w:r>
        <w:r w:rsidR="00F87A27">
          <w:t>31</w:t>
        </w:r>
        <w:r>
          <w:fldChar w:fldCharType="end"/>
        </w:r>
      </w:hyperlink>
    </w:p>
    <w:p w:rsidR="00683742" w:rsidRDefault="00701FD7">
      <w:pPr>
        <w:pStyle w:val="3"/>
        <w:tabs>
          <w:tab w:val="right" w:leader="dot" w:pos="8306"/>
        </w:tabs>
        <w:spacing w:line="312" w:lineRule="auto"/>
      </w:pPr>
      <w:hyperlink w:anchor="_Toc4897" w:history="1">
        <w:r w:rsidR="00F87A27">
          <w:rPr>
            <w:rFonts w:ascii="黑体" w:eastAsia="黑体" w:hAnsi="黑体" w:hint="eastAsia"/>
            <w:bCs/>
          </w:rPr>
          <w:t>七、资产处置收益审核要点</w:t>
        </w:r>
        <w:r w:rsidR="00F87A27">
          <w:tab/>
        </w:r>
        <w:r>
          <w:fldChar w:fldCharType="begin"/>
        </w:r>
        <w:r w:rsidR="00F87A27">
          <w:instrText xml:space="preserve"> PAGEREF _Toc4897 </w:instrText>
        </w:r>
        <w:r>
          <w:fldChar w:fldCharType="separate"/>
        </w:r>
        <w:r w:rsidR="00F87A27">
          <w:t>31</w:t>
        </w:r>
        <w:r>
          <w:fldChar w:fldCharType="end"/>
        </w:r>
      </w:hyperlink>
    </w:p>
    <w:p w:rsidR="00683742" w:rsidRDefault="00701FD7">
      <w:pPr>
        <w:pStyle w:val="2"/>
        <w:tabs>
          <w:tab w:val="right" w:leader="dot" w:pos="8306"/>
        </w:tabs>
        <w:spacing w:line="312" w:lineRule="auto"/>
      </w:pPr>
      <w:hyperlink w:anchor="_Toc27115" w:history="1">
        <w:r w:rsidR="00F87A27">
          <w:rPr>
            <w:rFonts w:ascii="黑体" w:eastAsia="黑体" w:hAnsi="黑体" w:hint="eastAsia"/>
          </w:rPr>
          <w:t>第七部分：主要资产负债科目非接触审核程序及审核要点</w:t>
        </w:r>
        <w:r w:rsidR="00F87A27">
          <w:tab/>
        </w:r>
        <w:r>
          <w:fldChar w:fldCharType="begin"/>
        </w:r>
        <w:r w:rsidR="00F87A27">
          <w:instrText xml:space="preserve"> PAGEREF _Toc27115 </w:instrText>
        </w:r>
        <w:r>
          <w:fldChar w:fldCharType="separate"/>
        </w:r>
        <w:r w:rsidR="00F87A27">
          <w:t>31</w:t>
        </w:r>
        <w:r>
          <w:fldChar w:fldCharType="end"/>
        </w:r>
      </w:hyperlink>
    </w:p>
    <w:p w:rsidR="00683742" w:rsidRDefault="00701FD7">
      <w:pPr>
        <w:pStyle w:val="3"/>
        <w:tabs>
          <w:tab w:val="right" w:leader="dot" w:pos="8306"/>
        </w:tabs>
        <w:spacing w:line="312" w:lineRule="auto"/>
      </w:pPr>
      <w:hyperlink w:anchor="_Toc30763" w:history="1">
        <w:r w:rsidR="00F87A27">
          <w:rPr>
            <w:rFonts w:ascii="黑体" w:eastAsia="黑体" w:hAnsi="黑体" w:hint="eastAsia"/>
          </w:rPr>
          <w:t>一、应交税费审核程序及审核要点</w:t>
        </w:r>
        <w:r w:rsidR="00F87A27">
          <w:tab/>
        </w:r>
        <w:r>
          <w:fldChar w:fldCharType="begin"/>
        </w:r>
        <w:r w:rsidR="00F87A27">
          <w:instrText xml:space="preserve"> PAGEREF _Toc30763 </w:instrText>
        </w:r>
        <w:r>
          <w:fldChar w:fldCharType="separate"/>
        </w:r>
        <w:r w:rsidR="00F87A27">
          <w:t>31</w:t>
        </w:r>
        <w:r>
          <w:fldChar w:fldCharType="end"/>
        </w:r>
      </w:hyperlink>
    </w:p>
    <w:p w:rsidR="00683742" w:rsidRDefault="00701FD7">
      <w:pPr>
        <w:pStyle w:val="3"/>
        <w:tabs>
          <w:tab w:val="right" w:leader="dot" w:pos="8306"/>
        </w:tabs>
        <w:spacing w:line="312" w:lineRule="auto"/>
      </w:pPr>
      <w:hyperlink w:anchor="_Toc15492" w:history="1">
        <w:r w:rsidR="00F87A27">
          <w:rPr>
            <w:rFonts w:ascii="黑体" w:eastAsia="黑体" w:hAnsi="黑体" w:hint="eastAsia"/>
          </w:rPr>
          <w:t>二、工资薪酬审核程序及审核要点</w:t>
        </w:r>
        <w:r w:rsidR="00F87A27">
          <w:tab/>
        </w:r>
        <w:r>
          <w:fldChar w:fldCharType="begin"/>
        </w:r>
        <w:r w:rsidR="00F87A27">
          <w:instrText xml:space="preserve"> PAGEREF _Toc15492 </w:instrText>
        </w:r>
        <w:r>
          <w:fldChar w:fldCharType="separate"/>
        </w:r>
        <w:r w:rsidR="00F87A27">
          <w:t>32</w:t>
        </w:r>
        <w:r>
          <w:fldChar w:fldCharType="end"/>
        </w:r>
      </w:hyperlink>
    </w:p>
    <w:p w:rsidR="00683742" w:rsidRDefault="00701FD7">
      <w:pPr>
        <w:pStyle w:val="3"/>
        <w:tabs>
          <w:tab w:val="right" w:leader="dot" w:pos="8306"/>
        </w:tabs>
        <w:spacing w:line="312" w:lineRule="auto"/>
      </w:pPr>
      <w:hyperlink w:anchor="_Toc27998" w:history="1">
        <w:r w:rsidR="00F87A27">
          <w:rPr>
            <w:rFonts w:ascii="黑体" w:eastAsia="黑体" w:hAnsi="黑体" w:hint="eastAsia"/>
          </w:rPr>
          <w:t>三、职工福利费审核程序及审核要点</w:t>
        </w:r>
        <w:r w:rsidR="00F87A27">
          <w:tab/>
        </w:r>
        <w:r>
          <w:fldChar w:fldCharType="begin"/>
        </w:r>
        <w:r w:rsidR="00F87A27">
          <w:instrText xml:space="preserve"> PAGEREF _Toc27998 </w:instrText>
        </w:r>
        <w:r>
          <w:fldChar w:fldCharType="separate"/>
        </w:r>
        <w:r w:rsidR="00F87A27">
          <w:t>34</w:t>
        </w:r>
        <w:r>
          <w:fldChar w:fldCharType="end"/>
        </w:r>
      </w:hyperlink>
    </w:p>
    <w:p w:rsidR="00683742" w:rsidRDefault="00701FD7">
      <w:pPr>
        <w:pStyle w:val="3"/>
        <w:tabs>
          <w:tab w:val="right" w:leader="dot" w:pos="8306"/>
        </w:tabs>
        <w:spacing w:line="312" w:lineRule="auto"/>
      </w:pPr>
      <w:hyperlink w:anchor="_Toc16274" w:history="1">
        <w:r w:rsidR="00F87A27">
          <w:rPr>
            <w:rFonts w:ascii="黑体" w:eastAsia="黑体" w:hAnsi="黑体" w:hint="eastAsia"/>
          </w:rPr>
          <w:t>四、职工教育经费审核程序及审核要点</w:t>
        </w:r>
        <w:r w:rsidR="00F87A27">
          <w:tab/>
        </w:r>
        <w:r>
          <w:fldChar w:fldCharType="begin"/>
        </w:r>
        <w:r w:rsidR="00F87A27">
          <w:instrText xml:space="preserve"> PAGEREF _Toc16274 </w:instrText>
        </w:r>
        <w:r>
          <w:fldChar w:fldCharType="separate"/>
        </w:r>
        <w:r w:rsidR="00F87A27">
          <w:t>35</w:t>
        </w:r>
        <w:r>
          <w:fldChar w:fldCharType="end"/>
        </w:r>
      </w:hyperlink>
    </w:p>
    <w:p w:rsidR="00683742" w:rsidRDefault="00701FD7">
      <w:pPr>
        <w:pStyle w:val="3"/>
        <w:tabs>
          <w:tab w:val="right" w:leader="dot" w:pos="8306"/>
        </w:tabs>
        <w:spacing w:line="312" w:lineRule="auto"/>
      </w:pPr>
      <w:hyperlink w:anchor="_Toc16224" w:history="1">
        <w:r w:rsidR="00F87A27">
          <w:rPr>
            <w:rFonts w:ascii="黑体" w:eastAsia="黑体" w:hAnsi="黑体" w:hint="eastAsia"/>
          </w:rPr>
          <w:t>五、工会经费审核程序及审核要点</w:t>
        </w:r>
        <w:r w:rsidR="00F87A27">
          <w:tab/>
        </w:r>
        <w:r>
          <w:fldChar w:fldCharType="begin"/>
        </w:r>
        <w:r w:rsidR="00F87A27">
          <w:instrText xml:space="preserve"> PAGEREF _Toc16224 </w:instrText>
        </w:r>
        <w:r>
          <w:fldChar w:fldCharType="separate"/>
        </w:r>
        <w:r w:rsidR="00F87A27">
          <w:t>35</w:t>
        </w:r>
        <w:r>
          <w:fldChar w:fldCharType="end"/>
        </w:r>
      </w:hyperlink>
    </w:p>
    <w:p w:rsidR="00683742" w:rsidRDefault="00701FD7">
      <w:pPr>
        <w:pStyle w:val="3"/>
        <w:tabs>
          <w:tab w:val="right" w:leader="dot" w:pos="8306"/>
        </w:tabs>
        <w:spacing w:line="312" w:lineRule="auto"/>
      </w:pPr>
      <w:hyperlink w:anchor="_Toc11941" w:history="1">
        <w:r w:rsidR="00F87A27">
          <w:rPr>
            <w:rFonts w:ascii="黑体" w:eastAsia="黑体" w:hAnsi="黑体" w:hint="eastAsia"/>
          </w:rPr>
          <w:t>六、各类基本社会保障性保险审核程序及审核要点</w:t>
        </w:r>
        <w:r w:rsidR="00F87A27">
          <w:tab/>
        </w:r>
        <w:r>
          <w:fldChar w:fldCharType="begin"/>
        </w:r>
        <w:r w:rsidR="00F87A27">
          <w:instrText xml:space="preserve"> PAGEREF _Toc11941 </w:instrText>
        </w:r>
        <w:r>
          <w:fldChar w:fldCharType="separate"/>
        </w:r>
        <w:r w:rsidR="00F87A27">
          <w:t>35</w:t>
        </w:r>
        <w:r>
          <w:fldChar w:fldCharType="end"/>
        </w:r>
      </w:hyperlink>
    </w:p>
    <w:p w:rsidR="00683742" w:rsidRDefault="00701FD7">
      <w:pPr>
        <w:pStyle w:val="3"/>
        <w:tabs>
          <w:tab w:val="right" w:leader="dot" w:pos="8306"/>
        </w:tabs>
        <w:spacing w:line="312" w:lineRule="auto"/>
      </w:pPr>
      <w:hyperlink w:anchor="_Toc24319" w:history="1">
        <w:r w:rsidR="00F87A27">
          <w:rPr>
            <w:rFonts w:ascii="黑体" w:eastAsia="黑体" w:hAnsi="黑体" w:hint="eastAsia"/>
          </w:rPr>
          <w:t>七、住房公积金审核程序及审核要点</w:t>
        </w:r>
        <w:r w:rsidR="00F87A27">
          <w:tab/>
        </w:r>
        <w:r>
          <w:fldChar w:fldCharType="begin"/>
        </w:r>
        <w:r w:rsidR="00F87A27">
          <w:instrText xml:space="preserve"> PAGEREF _Toc24319 </w:instrText>
        </w:r>
        <w:r>
          <w:fldChar w:fldCharType="separate"/>
        </w:r>
        <w:r w:rsidR="00F87A27">
          <w:t>36</w:t>
        </w:r>
        <w:r>
          <w:fldChar w:fldCharType="end"/>
        </w:r>
      </w:hyperlink>
    </w:p>
    <w:p w:rsidR="00683742" w:rsidRDefault="00701FD7">
      <w:pPr>
        <w:pStyle w:val="3"/>
        <w:tabs>
          <w:tab w:val="right" w:leader="dot" w:pos="8306"/>
        </w:tabs>
        <w:spacing w:line="312" w:lineRule="auto"/>
      </w:pPr>
      <w:hyperlink w:anchor="_Toc13538" w:history="1">
        <w:r w:rsidR="00F87A27">
          <w:rPr>
            <w:rFonts w:ascii="黑体" w:eastAsia="黑体" w:hAnsi="黑体" w:hint="eastAsia"/>
          </w:rPr>
          <w:t>八、补充养老保险、补充医疗保险审核程序及审核要点</w:t>
        </w:r>
        <w:r w:rsidR="00F87A27">
          <w:tab/>
        </w:r>
        <w:r>
          <w:fldChar w:fldCharType="begin"/>
        </w:r>
        <w:r w:rsidR="00F87A27">
          <w:instrText xml:space="preserve"> PAGEREF _Toc13538 </w:instrText>
        </w:r>
        <w:r>
          <w:fldChar w:fldCharType="separate"/>
        </w:r>
        <w:r w:rsidR="00F87A27">
          <w:t>37</w:t>
        </w:r>
        <w:r>
          <w:fldChar w:fldCharType="end"/>
        </w:r>
      </w:hyperlink>
    </w:p>
    <w:p w:rsidR="00683742" w:rsidRDefault="00701FD7" w:rsidP="007302F8">
      <w:pPr>
        <w:adjustRightInd w:val="0"/>
        <w:snapToGrid w:val="0"/>
        <w:spacing w:beforeLines="50" w:afterLines="50" w:line="312" w:lineRule="auto"/>
        <w:jc w:val="center"/>
        <w:rPr>
          <w:rFonts w:ascii="黑体" w:eastAsia="黑体" w:hAnsi="黑体" w:cs="宋体"/>
          <w:b/>
          <w:color w:val="000000" w:themeColor="text1"/>
          <w:sz w:val="28"/>
          <w:szCs w:val="28"/>
        </w:rPr>
        <w:sectPr w:rsidR="00683742">
          <w:footerReference w:type="default" r:id="rId8"/>
          <w:pgSz w:w="11906" w:h="16838"/>
          <w:pgMar w:top="1440" w:right="1800" w:bottom="1440" w:left="1800" w:header="851" w:footer="992" w:gutter="0"/>
          <w:cols w:space="425"/>
          <w:docGrid w:type="lines" w:linePitch="312"/>
        </w:sectPr>
      </w:pPr>
      <w:r>
        <w:rPr>
          <w:rFonts w:ascii="黑体" w:eastAsia="黑体" w:hAnsi="黑体" w:cs="宋体" w:hint="eastAsia"/>
          <w:color w:val="000000" w:themeColor="text1"/>
          <w:szCs w:val="28"/>
        </w:rPr>
        <w:fldChar w:fldCharType="end"/>
      </w:r>
    </w:p>
    <w:p w:rsidR="00683742" w:rsidRDefault="00F87A27" w:rsidP="007302F8">
      <w:pPr>
        <w:adjustRightInd w:val="0"/>
        <w:snapToGrid w:val="0"/>
        <w:spacing w:beforeLines="50" w:afterLines="50" w:line="360" w:lineRule="auto"/>
        <w:jc w:val="center"/>
        <w:outlineLvl w:val="0"/>
        <w:rPr>
          <w:rFonts w:ascii="黑体" w:eastAsia="黑体" w:hAnsi="黑体" w:cs="宋体"/>
          <w:b/>
          <w:color w:val="000000" w:themeColor="text1"/>
          <w:sz w:val="28"/>
          <w:szCs w:val="28"/>
        </w:rPr>
      </w:pPr>
      <w:bookmarkStart w:id="0" w:name="_Toc20123"/>
      <w:r>
        <w:rPr>
          <w:rFonts w:ascii="黑体" w:eastAsia="黑体" w:hAnsi="黑体" w:cs="宋体" w:hint="eastAsia"/>
          <w:b/>
          <w:color w:val="000000" w:themeColor="text1"/>
          <w:sz w:val="28"/>
          <w:szCs w:val="28"/>
        </w:rPr>
        <w:lastRenderedPageBreak/>
        <w:t>企业所得税汇算清缴非接触审核工作指引</w:t>
      </w:r>
      <w:bookmarkEnd w:id="0"/>
    </w:p>
    <w:p w:rsidR="00683742" w:rsidRDefault="00F87A27" w:rsidP="007302F8">
      <w:pPr>
        <w:pStyle w:val="a7"/>
        <w:adjustRightInd w:val="0"/>
        <w:snapToGrid w:val="0"/>
        <w:spacing w:beforeLines="50" w:line="360" w:lineRule="auto"/>
        <w:ind w:firstLineChars="200" w:firstLine="480"/>
        <w:rPr>
          <w:rFonts w:ascii="黑体" w:eastAsia="黑体" w:hAnsi="黑体" w:cs="宋体"/>
          <w:color w:val="000000" w:themeColor="text1"/>
          <w:kern w:val="2"/>
        </w:rPr>
      </w:pPr>
      <w:r>
        <w:rPr>
          <w:rFonts w:ascii="黑体" w:eastAsia="黑体" w:hAnsi="黑体" w:cs="宋体" w:hint="eastAsia"/>
          <w:color w:val="000000" w:themeColor="text1"/>
          <w:kern w:val="2"/>
        </w:rPr>
        <w:t>为有效应对新型</w:t>
      </w:r>
      <w:bookmarkStart w:id="1" w:name="_GoBack"/>
      <w:bookmarkEnd w:id="1"/>
      <w:r>
        <w:rPr>
          <w:rFonts w:ascii="黑体" w:eastAsia="黑体" w:hAnsi="黑体" w:cs="宋体" w:hint="eastAsia"/>
          <w:color w:val="000000" w:themeColor="text1"/>
          <w:kern w:val="2"/>
        </w:rPr>
        <w:t>冠状病毒肺炎疫情带来的不利影响，做好2019年企业所得税汇算清缴审核工作，部分税务师事务所结合工作实际，力争既有效防控疫情，又积极配合客户和税务部门的要求，开启网络远程办公，利用公众号、小程序等多种线上渠道，及时与客户协调审核工作安排，为纳税人提供优质的“非接触式”服务。鉴于目前没有就非接触审核工作方式提供相关规定和行业执业意见，并且绝大部分税务师事务所缺乏大规模实施非接触审核工作的经验，因此，在实施非接触审核工作的过程中，可能存在因管控措施不当导致审核风险提升的情形。</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cs="宋体" w:hint="eastAsia"/>
          <w:color w:val="000000" w:themeColor="text1"/>
          <w:kern w:val="2"/>
        </w:rPr>
        <w:t>为积极推进2019年企业所得税汇算清缴审核工作，防范非接触审核工作相关风险，北京注册税务师协会下设的专业技术委员会，根据相关执业准则及适用的法律法规的规定拟订了 《企业所得税汇算清缴非接触审核工作指引》，仅供税务师事务所及相关从业人员在执业时参考，不能替代相关法律法规、注册税务师执业准则以及注册税务师职业判断。</w:t>
      </w:r>
    </w:p>
    <w:p w:rsidR="00683742" w:rsidRDefault="00F87A27" w:rsidP="007302F8">
      <w:pPr>
        <w:pStyle w:val="a7"/>
        <w:adjustRightInd w:val="0"/>
        <w:snapToGrid w:val="0"/>
        <w:spacing w:beforeLines="50" w:line="360" w:lineRule="auto"/>
        <w:jc w:val="center"/>
        <w:outlineLvl w:val="0"/>
        <w:rPr>
          <w:rFonts w:ascii="黑体" w:eastAsia="黑体" w:hAnsi="黑体"/>
          <w:color w:val="000000" w:themeColor="text1"/>
        </w:rPr>
      </w:pPr>
      <w:bookmarkStart w:id="2" w:name="_Toc29642"/>
      <w:r>
        <w:rPr>
          <w:rFonts w:ascii="黑体" w:eastAsia="黑体" w:hAnsi="黑体" w:cs="宋体" w:hint="eastAsia"/>
          <w:b/>
          <w:color w:val="000000" w:themeColor="text1"/>
        </w:rPr>
        <w:t>第一章 基本要求</w:t>
      </w:r>
      <w:bookmarkEnd w:id="2"/>
    </w:p>
    <w:p w:rsidR="00683742" w:rsidRDefault="00F87A27" w:rsidP="007302F8">
      <w:pPr>
        <w:pStyle w:val="a7"/>
        <w:adjustRightInd w:val="0"/>
        <w:snapToGrid w:val="0"/>
        <w:spacing w:beforeLines="50" w:line="360" w:lineRule="auto"/>
        <w:ind w:firstLineChars="200" w:firstLine="480"/>
        <w:jc w:val="both"/>
        <w:rPr>
          <w:rFonts w:ascii="黑体" w:eastAsia="黑体" w:hAnsi="黑体" w:cs="宋体"/>
          <w:color w:val="000000" w:themeColor="text1"/>
          <w:kern w:val="2"/>
        </w:rPr>
      </w:pPr>
      <w:r>
        <w:rPr>
          <w:rFonts w:ascii="黑体" w:eastAsia="黑体" w:hAnsi="黑体" w:cs="宋体" w:hint="eastAsia"/>
          <w:color w:val="000000" w:themeColor="text1"/>
          <w:kern w:val="2"/>
        </w:rPr>
        <w:t>本指引所称非接触审核，是指在审核项目组因当前特殊情况所限暂时无法赴 被审核单位办公场所实施现场审核的情况下采用通过现代通讯手段（包括电话、电子邮件、 数据交换平台、 语音和视频工具、内部视频和电话会议平台等） 获取被审核单位财务资料和其他与审核相关的信息资料以及与被审核单位相关人员进行远程交流等方式，在办公室或审核项目成员家中远程实施一部分审核工作并编制相关审核工作底稿的做法。</w:t>
      </w:r>
    </w:p>
    <w:p w:rsidR="00683742" w:rsidRDefault="00F87A27" w:rsidP="007302F8">
      <w:pPr>
        <w:pStyle w:val="a7"/>
        <w:adjustRightInd w:val="0"/>
        <w:snapToGrid w:val="0"/>
        <w:spacing w:beforeLines="50" w:line="360" w:lineRule="auto"/>
        <w:ind w:firstLineChars="200" w:firstLine="480"/>
        <w:jc w:val="both"/>
        <w:outlineLvl w:val="2"/>
        <w:rPr>
          <w:rFonts w:ascii="黑体" w:eastAsia="黑体" w:hAnsi="黑体" w:cs="宋体"/>
          <w:color w:val="000000" w:themeColor="text1"/>
          <w:kern w:val="2"/>
        </w:rPr>
      </w:pPr>
      <w:bookmarkStart w:id="3" w:name="_Toc29945"/>
      <w:r>
        <w:rPr>
          <w:rFonts w:ascii="黑体" w:eastAsia="黑体" w:hAnsi="黑体" w:cs="宋体" w:hint="eastAsia"/>
          <w:color w:val="000000" w:themeColor="text1"/>
          <w:kern w:val="2"/>
        </w:rPr>
        <w:t>一、审核业务承接</w:t>
      </w:r>
      <w:bookmarkEnd w:id="3"/>
    </w:p>
    <w:p w:rsidR="00683742" w:rsidRDefault="00F87A27" w:rsidP="007302F8">
      <w:pPr>
        <w:pStyle w:val="a7"/>
        <w:adjustRightInd w:val="0"/>
        <w:snapToGrid w:val="0"/>
        <w:spacing w:beforeLines="50" w:line="360" w:lineRule="auto"/>
        <w:ind w:firstLineChars="200" w:firstLine="480"/>
        <w:jc w:val="both"/>
        <w:rPr>
          <w:rFonts w:ascii="黑体" w:eastAsia="黑体" w:hAnsi="黑体" w:cs="宋体"/>
          <w:color w:val="000000" w:themeColor="text1"/>
          <w:kern w:val="2"/>
        </w:rPr>
      </w:pPr>
      <w:r>
        <w:rPr>
          <w:rFonts w:ascii="黑体" w:eastAsia="黑体" w:hAnsi="黑体" w:cs="宋体" w:hint="eastAsia"/>
          <w:color w:val="000000" w:themeColor="text1"/>
          <w:kern w:val="2"/>
        </w:rPr>
        <w:t>1、承接业务前应根据自身能力和独立性，以及委托单位管理当局是否正直、诚实等因素，决定是否承接委托单位委托的审核业务。</w:t>
      </w:r>
    </w:p>
    <w:p w:rsidR="00683742" w:rsidRDefault="00F87A27" w:rsidP="007302F8">
      <w:pPr>
        <w:pStyle w:val="a7"/>
        <w:adjustRightInd w:val="0"/>
        <w:snapToGrid w:val="0"/>
        <w:spacing w:beforeLines="50" w:line="360" w:lineRule="auto"/>
        <w:ind w:firstLineChars="200" w:firstLine="480"/>
        <w:jc w:val="both"/>
        <w:rPr>
          <w:rFonts w:ascii="黑体" w:eastAsia="黑体" w:hAnsi="黑体" w:cs="宋体"/>
          <w:color w:val="000000" w:themeColor="text1"/>
          <w:kern w:val="2"/>
        </w:rPr>
      </w:pPr>
      <w:r>
        <w:rPr>
          <w:rFonts w:ascii="黑体" w:eastAsia="黑体" w:hAnsi="黑体" w:cs="宋体" w:hint="eastAsia"/>
          <w:color w:val="000000" w:themeColor="text1"/>
          <w:kern w:val="2"/>
        </w:rPr>
        <w:t>2、在接受委托单位首次委托审核前，应与委托单位管理当局电话或其他网络方式商谈，获取委托单位的财务会计资料，了解委托单位的主要管理人员是否正直、诚实，向前任注册税务师了解更换的原因，估计审核风险，考虑自身的能力及能否保持独立性，确定是否接受委托。</w:t>
      </w:r>
    </w:p>
    <w:p w:rsidR="00683742" w:rsidRDefault="00F87A27" w:rsidP="007302F8">
      <w:pPr>
        <w:pStyle w:val="a7"/>
        <w:adjustRightInd w:val="0"/>
        <w:snapToGrid w:val="0"/>
        <w:spacing w:beforeLines="50" w:line="360" w:lineRule="auto"/>
        <w:ind w:firstLineChars="200" w:firstLine="480"/>
        <w:jc w:val="both"/>
        <w:rPr>
          <w:rFonts w:ascii="黑体" w:eastAsia="黑体" w:hAnsi="黑体" w:cs="宋体"/>
          <w:color w:val="000000" w:themeColor="text1"/>
          <w:kern w:val="2"/>
        </w:rPr>
      </w:pPr>
      <w:r>
        <w:rPr>
          <w:rFonts w:ascii="黑体" w:eastAsia="黑体" w:hAnsi="黑体" w:cs="宋体" w:hint="eastAsia"/>
          <w:color w:val="000000" w:themeColor="text1"/>
          <w:kern w:val="2"/>
        </w:rPr>
        <w:lastRenderedPageBreak/>
        <w:t>3、在继续接受委托单位委托审核前，应了解委托单位的主要管理人员、财务状况、经营性质是否发生重大变化，是否存在重大的诉讼事项，并对其进行评价，以确定是否继续接受委托。</w:t>
      </w:r>
    </w:p>
    <w:p w:rsidR="00683742" w:rsidRDefault="00F87A27" w:rsidP="007302F8">
      <w:pPr>
        <w:pStyle w:val="a7"/>
        <w:adjustRightInd w:val="0"/>
        <w:snapToGrid w:val="0"/>
        <w:spacing w:beforeLines="50" w:line="360" w:lineRule="auto"/>
        <w:ind w:firstLineChars="200" w:firstLine="480"/>
        <w:jc w:val="both"/>
        <w:outlineLvl w:val="2"/>
        <w:rPr>
          <w:rFonts w:ascii="黑体" w:eastAsia="黑体" w:hAnsi="黑体" w:cs="宋体"/>
          <w:color w:val="000000" w:themeColor="text1"/>
          <w:kern w:val="2"/>
        </w:rPr>
      </w:pPr>
      <w:bookmarkStart w:id="4" w:name="_Toc18657"/>
      <w:r>
        <w:rPr>
          <w:rFonts w:ascii="黑体" w:eastAsia="黑体" w:hAnsi="黑体" w:cs="宋体" w:hint="eastAsia"/>
          <w:color w:val="000000" w:themeColor="text1"/>
          <w:kern w:val="2"/>
        </w:rPr>
        <w:t>二、审核业务分配</w:t>
      </w:r>
      <w:bookmarkEnd w:id="4"/>
    </w:p>
    <w:p w:rsidR="00683742" w:rsidRDefault="00F87A27" w:rsidP="007302F8">
      <w:pPr>
        <w:pStyle w:val="a7"/>
        <w:adjustRightInd w:val="0"/>
        <w:snapToGrid w:val="0"/>
        <w:spacing w:beforeLines="50" w:line="360" w:lineRule="auto"/>
        <w:ind w:firstLineChars="200" w:firstLine="480"/>
        <w:jc w:val="both"/>
        <w:rPr>
          <w:rFonts w:ascii="黑体" w:eastAsia="黑体" w:hAnsi="黑体" w:cs="宋体"/>
          <w:color w:val="000000" w:themeColor="text1"/>
          <w:kern w:val="2"/>
        </w:rPr>
      </w:pPr>
      <w:r>
        <w:rPr>
          <w:rFonts w:ascii="黑体" w:eastAsia="黑体" w:hAnsi="黑体" w:cs="宋体" w:hint="eastAsia"/>
          <w:color w:val="000000" w:themeColor="text1"/>
          <w:kern w:val="2"/>
        </w:rPr>
        <w:t>1、在确定接受审核委托后，各审核项目均须确定项目负责人，包括项目负责经理和外勤主管。</w:t>
      </w:r>
    </w:p>
    <w:p w:rsidR="00683742" w:rsidRDefault="00F87A27" w:rsidP="007302F8">
      <w:pPr>
        <w:pStyle w:val="a7"/>
        <w:adjustRightInd w:val="0"/>
        <w:snapToGrid w:val="0"/>
        <w:spacing w:beforeLines="50" w:line="360" w:lineRule="auto"/>
        <w:ind w:firstLineChars="200" w:firstLine="480"/>
        <w:jc w:val="both"/>
        <w:rPr>
          <w:rFonts w:ascii="黑体" w:eastAsia="黑体" w:hAnsi="黑体" w:cs="宋体"/>
          <w:color w:val="000000" w:themeColor="text1"/>
          <w:kern w:val="2"/>
        </w:rPr>
      </w:pPr>
      <w:r>
        <w:rPr>
          <w:rFonts w:ascii="黑体" w:eastAsia="黑体" w:hAnsi="黑体" w:cs="宋体" w:hint="eastAsia"/>
          <w:color w:val="000000" w:themeColor="text1"/>
          <w:kern w:val="2"/>
        </w:rPr>
        <w:t>2、各级项目负责人应根据审核项目的大小、难易程度和审核风险的高低，由主管合伙人确定。</w:t>
      </w:r>
    </w:p>
    <w:p w:rsidR="00683742" w:rsidRDefault="00F87A27" w:rsidP="007302F8">
      <w:pPr>
        <w:pStyle w:val="a7"/>
        <w:adjustRightInd w:val="0"/>
        <w:snapToGrid w:val="0"/>
        <w:spacing w:beforeLines="50" w:line="360" w:lineRule="auto"/>
        <w:ind w:firstLineChars="200" w:firstLine="480"/>
        <w:jc w:val="both"/>
        <w:rPr>
          <w:rFonts w:ascii="黑体" w:eastAsia="黑体" w:hAnsi="黑体" w:cs="宋体"/>
          <w:color w:val="000000" w:themeColor="text1"/>
          <w:kern w:val="2"/>
        </w:rPr>
      </w:pPr>
      <w:r>
        <w:rPr>
          <w:rFonts w:ascii="黑体" w:eastAsia="黑体" w:hAnsi="黑体" w:cs="宋体" w:hint="eastAsia"/>
          <w:color w:val="000000" w:themeColor="text1"/>
          <w:kern w:val="2"/>
        </w:rPr>
        <w:t>3、业务助理人员应根据审核项目的性质以及员工的学识、经验、能力等，由项目负责人确定后报部门经理批准。</w:t>
      </w:r>
    </w:p>
    <w:p w:rsidR="00683742" w:rsidRDefault="00F87A27" w:rsidP="007302F8">
      <w:pPr>
        <w:pStyle w:val="a7"/>
        <w:adjustRightInd w:val="0"/>
        <w:snapToGrid w:val="0"/>
        <w:spacing w:beforeLines="50" w:line="360" w:lineRule="auto"/>
        <w:ind w:firstLineChars="200" w:firstLine="480"/>
        <w:jc w:val="both"/>
        <w:outlineLvl w:val="2"/>
        <w:rPr>
          <w:rFonts w:ascii="黑体" w:eastAsia="黑体" w:hAnsi="黑体" w:cs="宋体"/>
          <w:color w:val="000000" w:themeColor="text1"/>
          <w:kern w:val="2"/>
        </w:rPr>
      </w:pPr>
      <w:bookmarkStart w:id="5" w:name="_Toc2495"/>
      <w:r>
        <w:rPr>
          <w:rFonts w:ascii="黑体" w:eastAsia="黑体" w:hAnsi="黑体" w:cs="宋体" w:hint="eastAsia"/>
          <w:color w:val="000000" w:themeColor="text1"/>
          <w:kern w:val="2"/>
        </w:rPr>
        <w:t>三、非接触审核工作方式注意事项</w:t>
      </w:r>
      <w:bookmarkEnd w:id="5"/>
    </w:p>
    <w:p w:rsidR="00683742" w:rsidRDefault="00F87A27" w:rsidP="007302F8">
      <w:pPr>
        <w:pStyle w:val="a7"/>
        <w:adjustRightInd w:val="0"/>
        <w:snapToGrid w:val="0"/>
        <w:spacing w:beforeLines="50" w:line="360" w:lineRule="auto"/>
        <w:ind w:firstLineChars="200" w:firstLine="480"/>
        <w:jc w:val="both"/>
        <w:rPr>
          <w:rFonts w:ascii="黑体" w:eastAsia="黑体" w:hAnsi="黑体" w:cs="宋体"/>
          <w:color w:val="000000" w:themeColor="text1"/>
          <w:kern w:val="2"/>
        </w:rPr>
      </w:pPr>
      <w:r>
        <w:rPr>
          <w:rFonts w:ascii="黑体" w:eastAsia="黑体" w:hAnsi="黑体" w:cs="宋体" w:hint="eastAsia"/>
          <w:color w:val="000000" w:themeColor="text1"/>
          <w:kern w:val="2"/>
        </w:rPr>
        <w:t>1、与被审核单位管理层沟通</w:t>
      </w:r>
    </w:p>
    <w:p w:rsidR="00683742" w:rsidRDefault="00F87A27" w:rsidP="007302F8">
      <w:pPr>
        <w:pStyle w:val="a7"/>
        <w:adjustRightInd w:val="0"/>
        <w:snapToGrid w:val="0"/>
        <w:spacing w:beforeLines="50" w:line="360" w:lineRule="auto"/>
        <w:ind w:firstLineChars="200" w:firstLine="480"/>
        <w:jc w:val="both"/>
        <w:rPr>
          <w:rFonts w:ascii="黑体" w:eastAsia="黑体" w:hAnsi="黑体" w:cs="宋体"/>
          <w:color w:val="000000" w:themeColor="text1"/>
          <w:kern w:val="2"/>
        </w:rPr>
      </w:pPr>
      <w:r>
        <w:rPr>
          <w:rFonts w:ascii="黑体" w:eastAsia="黑体" w:hAnsi="黑体" w:cs="宋体" w:hint="eastAsia"/>
          <w:color w:val="000000" w:themeColor="text1"/>
          <w:kern w:val="2"/>
        </w:rPr>
        <w:t>在采用非接触审核工作方式的情况下，项目合伙人或项目负责人应与被审核单位管理层或管理层授权人员充分沟通并获取其非接触审核工作的理解和支持，商定被审核单位提供相应配合的具体实施方案（人员安排和联络方式、资料准备和提供时间及传递方式等），并</w:t>
      </w:r>
      <w:r w:rsidR="003730B1" w:rsidRPr="003730B1">
        <w:rPr>
          <w:rFonts w:ascii="黑体" w:eastAsia="黑体" w:hAnsi="黑体" w:cs="宋体" w:hint="eastAsia"/>
          <w:color w:val="000000" w:themeColor="text1"/>
          <w:kern w:val="2"/>
        </w:rPr>
        <w:t>督促</w:t>
      </w:r>
      <w:r>
        <w:rPr>
          <w:rFonts w:ascii="黑体" w:eastAsia="黑体" w:hAnsi="黑体" w:cs="宋体" w:hint="eastAsia"/>
          <w:color w:val="000000" w:themeColor="text1"/>
          <w:kern w:val="2"/>
        </w:rPr>
        <w:t>被审核单位相关人员及时提供真实、完整、准确的审核所需资料。沟通事项和过程应在工作底稿中恰当反映。</w:t>
      </w:r>
    </w:p>
    <w:p w:rsidR="00683742" w:rsidRDefault="00F87A27" w:rsidP="007302F8">
      <w:pPr>
        <w:pStyle w:val="a7"/>
        <w:adjustRightInd w:val="0"/>
        <w:snapToGrid w:val="0"/>
        <w:spacing w:beforeLines="50" w:line="360" w:lineRule="auto"/>
        <w:ind w:firstLineChars="200" w:firstLine="480"/>
        <w:jc w:val="both"/>
        <w:rPr>
          <w:rFonts w:ascii="黑体" w:eastAsia="黑体" w:hAnsi="黑体" w:cs="宋体"/>
          <w:color w:val="000000" w:themeColor="text1"/>
          <w:kern w:val="2"/>
        </w:rPr>
      </w:pPr>
      <w:r>
        <w:rPr>
          <w:rFonts w:ascii="黑体" w:eastAsia="黑体" w:hAnsi="黑体" w:cs="宋体" w:hint="eastAsia"/>
          <w:color w:val="000000" w:themeColor="text1"/>
          <w:kern w:val="2"/>
        </w:rPr>
        <w:t>2、非接触审核工作方式下的项目管理</w:t>
      </w:r>
    </w:p>
    <w:p w:rsidR="00683742" w:rsidRDefault="00F87A27" w:rsidP="007302F8">
      <w:pPr>
        <w:pStyle w:val="a7"/>
        <w:adjustRightInd w:val="0"/>
        <w:snapToGrid w:val="0"/>
        <w:spacing w:beforeLines="50" w:line="360" w:lineRule="auto"/>
        <w:ind w:firstLineChars="200" w:firstLine="480"/>
        <w:jc w:val="both"/>
        <w:rPr>
          <w:rFonts w:ascii="黑体" w:eastAsia="黑体" w:hAnsi="黑体" w:cs="宋体"/>
          <w:color w:val="000000" w:themeColor="text1"/>
          <w:kern w:val="2"/>
        </w:rPr>
      </w:pPr>
      <w:r>
        <w:rPr>
          <w:rFonts w:ascii="黑体" w:eastAsia="黑体" w:hAnsi="黑体" w:cs="宋体" w:hint="eastAsia"/>
          <w:color w:val="000000" w:themeColor="text1"/>
          <w:kern w:val="2"/>
        </w:rPr>
        <w:t>采用非接触审核工作方式时，由于项目组成员并非集中于审核工作现场，导致其审核工作的效率和效果受主观和客观条件的影响较大。因此，项目合伙人或项目负责人应特别考虑非接触审核工作方式下的项目管理和督导。项目合伙人或项目负责人应充分关注项目组成员的工作状况、工作进度、效率和效果，并及时对其工作进行复核和指导，同时还应始终关注疫情防控情况的变化，及时与企业协商在适当时间追加现场审核工作。</w:t>
      </w:r>
    </w:p>
    <w:p w:rsidR="00683742" w:rsidRDefault="00F87A27" w:rsidP="007302F8">
      <w:pPr>
        <w:pStyle w:val="a7"/>
        <w:adjustRightInd w:val="0"/>
        <w:snapToGrid w:val="0"/>
        <w:spacing w:beforeLines="50" w:line="360" w:lineRule="auto"/>
        <w:ind w:firstLineChars="200" w:firstLine="480"/>
        <w:jc w:val="both"/>
        <w:rPr>
          <w:rFonts w:ascii="黑体" w:eastAsia="黑体" w:hAnsi="黑体" w:cs="宋体"/>
          <w:color w:val="000000" w:themeColor="text1"/>
          <w:kern w:val="2"/>
        </w:rPr>
      </w:pPr>
      <w:r>
        <w:rPr>
          <w:rFonts w:ascii="黑体" w:eastAsia="黑体" w:hAnsi="黑体" w:cs="宋体" w:hint="eastAsia"/>
          <w:color w:val="000000" w:themeColor="text1"/>
          <w:kern w:val="2"/>
        </w:rPr>
        <w:t>3、非接触审核工作方式下相关审核程序的执行</w:t>
      </w:r>
    </w:p>
    <w:p w:rsidR="00683742" w:rsidRDefault="00F87A27" w:rsidP="007302F8">
      <w:pPr>
        <w:pStyle w:val="a7"/>
        <w:adjustRightInd w:val="0"/>
        <w:snapToGrid w:val="0"/>
        <w:spacing w:beforeLines="50" w:line="360" w:lineRule="auto"/>
        <w:ind w:firstLineChars="150" w:firstLine="360"/>
        <w:jc w:val="both"/>
        <w:rPr>
          <w:rFonts w:ascii="黑体" w:eastAsia="黑体" w:hAnsi="黑体" w:cs="宋体"/>
          <w:color w:val="000000" w:themeColor="text1"/>
          <w:kern w:val="2"/>
        </w:rPr>
      </w:pPr>
      <w:r>
        <w:rPr>
          <w:rFonts w:ascii="黑体" w:eastAsia="黑体" w:hAnsi="黑体" w:cs="宋体" w:hint="eastAsia"/>
          <w:color w:val="000000" w:themeColor="text1"/>
          <w:kern w:val="2"/>
        </w:rPr>
        <w:t>（1）税务师事务所应恰当评估非接触审核工作方式下所能开展的相关审核程</w:t>
      </w:r>
      <w:r>
        <w:rPr>
          <w:rFonts w:ascii="黑体" w:eastAsia="黑体" w:hAnsi="黑体" w:cs="宋体" w:hint="eastAsia"/>
          <w:color w:val="000000" w:themeColor="text1"/>
          <w:kern w:val="2"/>
        </w:rPr>
        <w:lastRenderedPageBreak/>
        <w:t>序，并根据中华人民共和国企业所得税法的相关规定，对非接触审核工作方式下相关审核程序的执行提出明确要求。</w:t>
      </w:r>
    </w:p>
    <w:p w:rsidR="00683742" w:rsidRDefault="00F87A27" w:rsidP="007302F8">
      <w:pPr>
        <w:pStyle w:val="a7"/>
        <w:widowControl/>
        <w:adjustRightInd w:val="0"/>
        <w:snapToGrid w:val="0"/>
        <w:spacing w:beforeLines="50" w:line="360" w:lineRule="auto"/>
        <w:ind w:firstLineChars="150" w:firstLine="360"/>
        <w:jc w:val="both"/>
        <w:rPr>
          <w:rFonts w:ascii="黑体" w:eastAsia="黑体" w:hAnsi="黑体" w:cs="宋体"/>
          <w:color w:val="000000" w:themeColor="text1"/>
          <w:kern w:val="2"/>
        </w:rPr>
      </w:pPr>
      <w:r>
        <w:rPr>
          <w:rFonts w:ascii="黑体" w:eastAsia="黑体" w:hAnsi="黑体" w:cs="宋体" w:hint="eastAsia"/>
          <w:color w:val="000000" w:themeColor="text1"/>
          <w:kern w:val="2"/>
        </w:rPr>
        <w:t>（2）非接触审核方式不能适用于审核工作全过程，在出具审核报告前必须追加必要的现场审核工作。项目负责人应在具备实施现场审核条件时第一时间联系被审核单位，以尽快实施并完成所有必要的现场审核工作（如观察被审核单位经营场所、检查文件单据原件、检查实物资产等）。</w:t>
      </w:r>
    </w:p>
    <w:p w:rsidR="00683742" w:rsidRDefault="00F87A27" w:rsidP="007302F8">
      <w:pPr>
        <w:pStyle w:val="a7"/>
        <w:adjustRightInd w:val="0"/>
        <w:snapToGrid w:val="0"/>
        <w:spacing w:beforeLines="50" w:line="360" w:lineRule="auto"/>
        <w:ind w:firstLineChars="200" w:firstLine="480"/>
        <w:jc w:val="both"/>
        <w:rPr>
          <w:rFonts w:ascii="黑体" w:eastAsia="黑体" w:hAnsi="黑体" w:cs="宋体"/>
          <w:color w:val="000000" w:themeColor="text1"/>
          <w:kern w:val="2"/>
        </w:rPr>
      </w:pPr>
      <w:r>
        <w:rPr>
          <w:rFonts w:ascii="黑体" w:eastAsia="黑体" w:hAnsi="黑体" w:cs="宋体" w:hint="eastAsia"/>
          <w:color w:val="000000" w:themeColor="text1"/>
          <w:kern w:val="2"/>
        </w:rPr>
        <w:t>4、非接触审核工作方式下相关审核证据的获取</w:t>
      </w:r>
    </w:p>
    <w:p w:rsidR="00683742" w:rsidRDefault="00F87A27" w:rsidP="007302F8">
      <w:pPr>
        <w:pStyle w:val="a7"/>
        <w:adjustRightInd w:val="0"/>
        <w:snapToGrid w:val="0"/>
        <w:spacing w:beforeLines="50" w:line="360" w:lineRule="auto"/>
        <w:ind w:firstLineChars="150" w:firstLine="360"/>
        <w:jc w:val="both"/>
        <w:rPr>
          <w:rFonts w:ascii="黑体" w:eastAsia="黑体" w:hAnsi="黑体" w:cs="宋体"/>
          <w:color w:val="000000" w:themeColor="text1"/>
          <w:kern w:val="2"/>
        </w:rPr>
      </w:pPr>
      <w:r>
        <w:rPr>
          <w:rFonts w:ascii="黑体" w:eastAsia="黑体" w:hAnsi="黑体" w:cs="宋体" w:hint="eastAsia"/>
          <w:color w:val="000000" w:themeColor="text1"/>
          <w:kern w:val="2"/>
        </w:rPr>
        <w:t>（1）税务师事务所应恰当评估非接触审核工作方式下获取审核证据的局限性，并根据税务师执业准则的相关规定，对非接触审核工作方式下相关审核证据的获取采取具体的指导和监控措施。</w:t>
      </w:r>
    </w:p>
    <w:p w:rsidR="00683742" w:rsidRDefault="00F87A27" w:rsidP="007302F8">
      <w:pPr>
        <w:pStyle w:val="a7"/>
        <w:adjustRightInd w:val="0"/>
        <w:snapToGrid w:val="0"/>
        <w:spacing w:beforeLines="50" w:line="360" w:lineRule="auto"/>
        <w:ind w:firstLineChars="150" w:firstLine="360"/>
        <w:jc w:val="both"/>
        <w:rPr>
          <w:rFonts w:ascii="黑体" w:eastAsia="黑体" w:hAnsi="黑体" w:cs="宋体"/>
          <w:color w:val="000000" w:themeColor="text1"/>
          <w:kern w:val="2"/>
        </w:rPr>
      </w:pPr>
      <w:r>
        <w:rPr>
          <w:rFonts w:ascii="黑体" w:eastAsia="黑体" w:hAnsi="黑体" w:cs="宋体" w:hint="eastAsia"/>
          <w:color w:val="000000" w:themeColor="text1"/>
          <w:kern w:val="2"/>
        </w:rPr>
        <w:t>（2）通过非接触审核工作方式获取被审核单位财务数据等电子文件时，项目负责人应特别注意采取适当措施确保被审核单位数据信息安全并严格按照职业道德要求履行保密义务，例如：应尽可能避免使用不加密的公共无线网络环境；收发邮件时应对所传输的相关重要或敏感文件进行加密处理；避免用微信、QQ等社交媒体传送重要或敏感信息等。</w:t>
      </w:r>
    </w:p>
    <w:p w:rsidR="00683742" w:rsidRDefault="00F87A27" w:rsidP="007302F8">
      <w:pPr>
        <w:pStyle w:val="a7"/>
        <w:adjustRightInd w:val="0"/>
        <w:snapToGrid w:val="0"/>
        <w:spacing w:beforeLines="50" w:line="360" w:lineRule="auto"/>
        <w:ind w:firstLineChars="150" w:firstLine="360"/>
        <w:jc w:val="both"/>
        <w:rPr>
          <w:rFonts w:ascii="黑体" w:eastAsia="黑体" w:hAnsi="黑体" w:cs="宋体"/>
          <w:color w:val="000000" w:themeColor="text1"/>
          <w:kern w:val="2"/>
        </w:rPr>
      </w:pPr>
      <w:r>
        <w:rPr>
          <w:rFonts w:ascii="黑体" w:eastAsia="黑体" w:hAnsi="黑体" w:cs="宋体" w:hint="eastAsia"/>
          <w:color w:val="000000" w:themeColor="text1"/>
          <w:kern w:val="2"/>
        </w:rPr>
        <w:t>（3）对以电子形式获取的审核证据（如传真或电子邮件），由于对获取的审核证据的更改难以发觉，因此可能存在可靠性风险。对此项目负责人应考虑采取适当措施降低可靠性风险，例如项目负责人使用税务师事务所工作邮箱（而非个人电子邮箱）接收审核所需资料，并要求被审核单位和回函者也应使用企业工作邮箱（而非个人电子邮箱）发送所需要的审核资料。</w:t>
      </w:r>
    </w:p>
    <w:p w:rsidR="00683742" w:rsidRDefault="00F87A27" w:rsidP="007302F8">
      <w:pPr>
        <w:pStyle w:val="a7"/>
        <w:adjustRightInd w:val="0"/>
        <w:snapToGrid w:val="0"/>
        <w:spacing w:beforeLines="50" w:line="360" w:lineRule="auto"/>
        <w:ind w:firstLineChars="150" w:firstLine="360"/>
        <w:jc w:val="both"/>
        <w:rPr>
          <w:rFonts w:ascii="黑体" w:eastAsia="黑体" w:hAnsi="黑体" w:cs="宋体"/>
          <w:color w:val="000000" w:themeColor="text1"/>
          <w:kern w:val="2"/>
        </w:rPr>
      </w:pPr>
      <w:r>
        <w:rPr>
          <w:rFonts w:ascii="黑体" w:eastAsia="黑体" w:hAnsi="黑体" w:cs="宋体" w:hint="eastAsia"/>
          <w:color w:val="000000" w:themeColor="text1"/>
          <w:kern w:val="2"/>
        </w:rPr>
        <w:t>（4）项目负责人应将通过非接触审核方式实施的审核程序、获取的相关审核证据，以及得出的审核结论及时完整地记录于审核工作底稿。对于非接触审核工作方式取得的音频、视频资料（例如重大有形资产视频监控、远程视频访谈、视频或电话会议记录、视频沟通记录等录音、录屏资料），也应妥善保存于电子审核工作底稿之中。</w:t>
      </w:r>
    </w:p>
    <w:p w:rsidR="00683742" w:rsidRDefault="00F87A27" w:rsidP="007302F8">
      <w:pPr>
        <w:pStyle w:val="a7"/>
        <w:adjustRightInd w:val="0"/>
        <w:snapToGrid w:val="0"/>
        <w:spacing w:beforeLines="50" w:line="360" w:lineRule="auto"/>
        <w:ind w:firstLineChars="150" w:firstLine="360"/>
        <w:jc w:val="both"/>
        <w:rPr>
          <w:rFonts w:ascii="黑体" w:eastAsia="黑体" w:hAnsi="黑体" w:cs="宋体"/>
          <w:color w:val="000000" w:themeColor="text1"/>
          <w:kern w:val="2"/>
        </w:rPr>
      </w:pPr>
      <w:r>
        <w:rPr>
          <w:rFonts w:ascii="黑体" w:eastAsia="黑体" w:hAnsi="黑体" w:cs="宋体" w:hint="eastAsia"/>
          <w:color w:val="000000" w:themeColor="text1"/>
          <w:kern w:val="2"/>
        </w:rPr>
        <w:t>（5）在追加现场审核工作时，项目负责人应对非接触审核获取的电子审核证据执行与原件核对的追加程序，在审核工作底稿中特别注明原件核对工作的实施</w:t>
      </w:r>
      <w:r>
        <w:rPr>
          <w:rFonts w:ascii="黑体" w:eastAsia="黑体" w:hAnsi="黑体" w:cs="宋体" w:hint="eastAsia"/>
          <w:color w:val="000000" w:themeColor="text1"/>
          <w:kern w:val="2"/>
        </w:rPr>
        <w:lastRenderedPageBreak/>
        <w:t>人员、核对时间和结果。</w:t>
      </w:r>
    </w:p>
    <w:p w:rsidR="00683742" w:rsidRDefault="00F87A27" w:rsidP="007302F8">
      <w:pPr>
        <w:pStyle w:val="a7"/>
        <w:adjustRightInd w:val="0"/>
        <w:snapToGrid w:val="0"/>
        <w:spacing w:beforeLines="50" w:line="360" w:lineRule="auto"/>
        <w:ind w:firstLineChars="200" w:firstLine="480"/>
        <w:jc w:val="both"/>
        <w:outlineLvl w:val="2"/>
        <w:rPr>
          <w:rFonts w:ascii="黑体" w:eastAsia="黑体" w:hAnsi="黑体" w:cs="宋体"/>
          <w:color w:val="000000" w:themeColor="text1"/>
          <w:kern w:val="2"/>
        </w:rPr>
      </w:pPr>
      <w:bookmarkStart w:id="6" w:name="_Toc2199"/>
      <w:r>
        <w:rPr>
          <w:rFonts w:ascii="黑体" w:eastAsia="黑体" w:hAnsi="黑体" w:cs="宋体" w:hint="eastAsia"/>
          <w:color w:val="000000" w:themeColor="text1"/>
          <w:kern w:val="2"/>
        </w:rPr>
        <w:t>四、项目经理职责</w:t>
      </w:r>
      <w:bookmarkEnd w:id="6"/>
    </w:p>
    <w:p w:rsidR="00683742" w:rsidRDefault="00F87A27" w:rsidP="007302F8">
      <w:pPr>
        <w:pStyle w:val="a7"/>
        <w:adjustRightInd w:val="0"/>
        <w:snapToGrid w:val="0"/>
        <w:spacing w:beforeLines="50" w:line="360" w:lineRule="auto"/>
        <w:ind w:firstLineChars="200" w:firstLine="480"/>
        <w:jc w:val="both"/>
        <w:rPr>
          <w:rFonts w:ascii="黑体" w:eastAsia="黑体" w:hAnsi="黑体" w:cs="宋体"/>
          <w:color w:val="000000" w:themeColor="text1"/>
          <w:kern w:val="2"/>
        </w:rPr>
      </w:pPr>
      <w:r>
        <w:rPr>
          <w:rFonts w:ascii="黑体" w:eastAsia="黑体" w:hAnsi="黑体" w:cs="宋体" w:hint="eastAsia"/>
          <w:color w:val="000000" w:themeColor="text1"/>
          <w:kern w:val="2"/>
        </w:rPr>
        <w:t>1、项目负责人应当履行控制（包括时间控制和质量控制）、指导（包括审核程序执行和专业判断的指导）及协调三项基本职责。</w:t>
      </w:r>
    </w:p>
    <w:p w:rsidR="00683742" w:rsidRDefault="00F87A27" w:rsidP="007302F8">
      <w:pPr>
        <w:pStyle w:val="a7"/>
        <w:adjustRightInd w:val="0"/>
        <w:snapToGrid w:val="0"/>
        <w:spacing w:beforeLines="50" w:line="360" w:lineRule="auto"/>
        <w:ind w:firstLineChars="200" w:firstLine="480"/>
        <w:jc w:val="both"/>
        <w:rPr>
          <w:rFonts w:ascii="黑体" w:eastAsia="黑体" w:hAnsi="黑体" w:cs="宋体"/>
          <w:color w:val="000000" w:themeColor="text1"/>
          <w:kern w:val="2"/>
        </w:rPr>
      </w:pPr>
      <w:r>
        <w:rPr>
          <w:rFonts w:ascii="黑体" w:eastAsia="黑体" w:hAnsi="黑体" w:cs="宋体" w:hint="eastAsia"/>
          <w:color w:val="000000" w:themeColor="text1"/>
          <w:kern w:val="2"/>
        </w:rPr>
        <w:t>2、项目负责人应根据审核业务约定书和预备调查的结果，确立该项目的审核目标及基本审核思路，拟订审核方案。</w:t>
      </w:r>
    </w:p>
    <w:p w:rsidR="00683742" w:rsidRDefault="00F87A27" w:rsidP="007302F8">
      <w:pPr>
        <w:pStyle w:val="a7"/>
        <w:adjustRightInd w:val="0"/>
        <w:snapToGrid w:val="0"/>
        <w:spacing w:beforeLines="50" w:line="360" w:lineRule="auto"/>
        <w:ind w:firstLineChars="200" w:firstLine="480"/>
        <w:jc w:val="both"/>
        <w:rPr>
          <w:rFonts w:ascii="黑体" w:eastAsia="黑体" w:hAnsi="黑体" w:cs="宋体"/>
          <w:color w:val="000000" w:themeColor="text1"/>
          <w:kern w:val="2"/>
        </w:rPr>
      </w:pPr>
      <w:r>
        <w:rPr>
          <w:rFonts w:ascii="黑体" w:eastAsia="黑体" w:hAnsi="黑体" w:cs="宋体" w:hint="eastAsia"/>
          <w:color w:val="000000" w:themeColor="text1"/>
          <w:kern w:val="2"/>
        </w:rPr>
        <w:t>3、项目负责人应在审核工作前，通过微信、QQ等方式召集审核工作预备会议，通报预备调查情况和已确立的审核思路，讨论完善审核方案，并及时上报项目负责合伙人，在预备会议上，应对业务助理人员进行合理分工，分工时注意优化组合，用人所长，用人所专。</w:t>
      </w:r>
    </w:p>
    <w:p w:rsidR="00683742" w:rsidRDefault="00F87A27" w:rsidP="007302F8">
      <w:pPr>
        <w:pStyle w:val="a7"/>
        <w:adjustRightInd w:val="0"/>
        <w:snapToGrid w:val="0"/>
        <w:spacing w:beforeLines="50" w:line="360" w:lineRule="auto"/>
        <w:ind w:firstLineChars="200" w:firstLine="480"/>
        <w:jc w:val="both"/>
        <w:rPr>
          <w:rFonts w:ascii="黑体" w:eastAsia="黑体" w:hAnsi="黑体" w:cs="宋体"/>
          <w:color w:val="000000" w:themeColor="text1"/>
          <w:kern w:val="2"/>
        </w:rPr>
      </w:pPr>
      <w:r>
        <w:rPr>
          <w:rFonts w:ascii="黑体" w:eastAsia="黑体" w:hAnsi="黑体" w:cs="宋体" w:hint="eastAsia"/>
          <w:color w:val="000000" w:themeColor="text1"/>
          <w:kern w:val="2"/>
        </w:rPr>
        <w:t>4、审核工作开始时，项目负责人应根据实际情况在每天或必要时召集审核小组会，传达经批准的审核方案，进一步明确职责分工，并强调工作纪律。</w:t>
      </w:r>
    </w:p>
    <w:p w:rsidR="00683742" w:rsidRDefault="00F87A27" w:rsidP="007302F8">
      <w:pPr>
        <w:pStyle w:val="a7"/>
        <w:adjustRightInd w:val="0"/>
        <w:snapToGrid w:val="0"/>
        <w:spacing w:beforeLines="50" w:line="360" w:lineRule="auto"/>
        <w:ind w:firstLineChars="200" w:firstLine="480"/>
        <w:jc w:val="both"/>
        <w:rPr>
          <w:rFonts w:ascii="黑体" w:eastAsia="黑体" w:hAnsi="黑体" w:cs="宋体"/>
          <w:color w:val="000000" w:themeColor="text1"/>
          <w:kern w:val="2"/>
        </w:rPr>
      </w:pPr>
      <w:r>
        <w:rPr>
          <w:rFonts w:ascii="黑体" w:eastAsia="黑体" w:hAnsi="黑体" w:cs="宋体" w:hint="eastAsia"/>
          <w:color w:val="000000" w:themeColor="text1"/>
          <w:kern w:val="2"/>
        </w:rPr>
        <w:t>5、对于审核项目中的重大或疑难问题，应当由项目负责人亲自审核。</w:t>
      </w:r>
    </w:p>
    <w:p w:rsidR="00683742" w:rsidRDefault="00F87A27" w:rsidP="007302F8">
      <w:pPr>
        <w:pStyle w:val="a7"/>
        <w:adjustRightInd w:val="0"/>
        <w:snapToGrid w:val="0"/>
        <w:spacing w:beforeLines="50" w:line="360" w:lineRule="auto"/>
        <w:ind w:firstLineChars="200" w:firstLine="480"/>
        <w:jc w:val="both"/>
        <w:rPr>
          <w:rFonts w:ascii="黑体" w:eastAsia="黑体" w:hAnsi="黑体" w:cs="宋体"/>
          <w:color w:val="000000" w:themeColor="text1"/>
          <w:kern w:val="2"/>
        </w:rPr>
      </w:pPr>
      <w:r>
        <w:rPr>
          <w:rFonts w:ascii="黑体" w:eastAsia="黑体" w:hAnsi="黑体" w:cs="宋体" w:hint="eastAsia"/>
          <w:color w:val="000000" w:themeColor="text1"/>
          <w:kern w:val="2"/>
        </w:rPr>
        <w:t>6、项目负责人应当及时审核员工的工作底稿，指导业务助理人员贯彻实施审核方案，帮助其发现和解决问题。对于重大问题应及时召开小组会议进行集体研讨，必要时，应向上级请示报告。</w:t>
      </w:r>
    </w:p>
    <w:p w:rsidR="00683742" w:rsidRDefault="00F87A27" w:rsidP="007302F8">
      <w:pPr>
        <w:pStyle w:val="a7"/>
        <w:adjustRightInd w:val="0"/>
        <w:snapToGrid w:val="0"/>
        <w:spacing w:beforeLines="50" w:line="360" w:lineRule="auto"/>
        <w:ind w:firstLineChars="200" w:firstLine="480"/>
        <w:jc w:val="both"/>
        <w:rPr>
          <w:rFonts w:ascii="黑体" w:eastAsia="黑体" w:hAnsi="黑体" w:cs="宋体"/>
          <w:color w:val="000000" w:themeColor="text1"/>
          <w:kern w:val="2"/>
        </w:rPr>
      </w:pPr>
      <w:r>
        <w:rPr>
          <w:rFonts w:ascii="黑体" w:eastAsia="黑体" w:hAnsi="黑体" w:cs="宋体" w:hint="eastAsia"/>
          <w:color w:val="000000" w:themeColor="text1"/>
          <w:kern w:val="2"/>
        </w:rPr>
        <w:t>7、项目负责人应负责与客户、其他中介机构和政府等有关部门的必要沟通，合理协调各方面关系，</w:t>
      </w:r>
      <w:r w:rsidR="003730B1" w:rsidRPr="003730B1">
        <w:rPr>
          <w:rFonts w:ascii="黑体" w:eastAsia="黑体" w:hAnsi="黑体" w:cs="宋体" w:hint="eastAsia"/>
          <w:color w:val="000000" w:themeColor="text1"/>
          <w:kern w:val="2"/>
        </w:rPr>
        <w:t>督促</w:t>
      </w:r>
      <w:r>
        <w:rPr>
          <w:rFonts w:ascii="黑体" w:eastAsia="黑体" w:hAnsi="黑体" w:cs="宋体" w:hint="eastAsia"/>
          <w:color w:val="000000" w:themeColor="text1"/>
          <w:kern w:val="2"/>
        </w:rPr>
        <w:t>客户按照业务约定履行相应业务。</w:t>
      </w:r>
    </w:p>
    <w:p w:rsidR="00683742" w:rsidRDefault="00F87A27" w:rsidP="007302F8">
      <w:pPr>
        <w:pStyle w:val="a7"/>
        <w:adjustRightInd w:val="0"/>
        <w:snapToGrid w:val="0"/>
        <w:spacing w:beforeLines="50" w:line="360" w:lineRule="auto"/>
        <w:ind w:firstLineChars="200" w:firstLine="480"/>
        <w:jc w:val="both"/>
        <w:rPr>
          <w:rFonts w:ascii="黑体" w:eastAsia="黑体" w:hAnsi="黑体" w:cs="宋体"/>
          <w:color w:val="000000" w:themeColor="text1"/>
          <w:kern w:val="2"/>
        </w:rPr>
      </w:pPr>
      <w:r>
        <w:rPr>
          <w:rFonts w:ascii="黑体" w:eastAsia="黑体" w:hAnsi="黑体" w:cs="宋体" w:hint="eastAsia"/>
          <w:color w:val="000000" w:themeColor="text1"/>
          <w:kern w:val="2"/>
        </w:rPr>
        <w:t>8、项目负责人应及时协调客户下属分支机构审核主体的审核进度，密切关注不同审核之间的配合与衔接；编制审核工作进度表，对审核质量与审核工时进行控制；撰写审核工作小结。</w:t>
      </w:r>
    </w:p>
    <w:p w:rsidR="00683742" w:rsidRDefault="00F87A27" w:rsidP="007302F8">
      <w:pPr>
        <w:pStyle w:val="a7"/>
        <w:adjustRightInd w:val="0"/>
        <w:snapToGrid w:val="0"/>
        <w:spacing w:beforeLines="50" w:line="360" w:lineRule="auto"/>
        <w:ind w:firstLineChars="200" w:firstLine="480"/>
        <w:jc w:val="both"/>
        <w:rPr>
          <w:rFonts w:ascii="黑体" w:eastAsia="黑体" w:hAnsi="黑体" w:cs="宋体"/>
          <w:color w:val="000000" w:themeColor="text1"/>
          <w:kern w:val="2"/>
        </w:rPr>
      </w:pPr>
      <w:r>
        <w:rPr>
          <w:rFonts w:ascii="黑体" w:eastAsia="黑体" w:hAnsi="黑体" w:cs="宋体" w:hint="eastAsia"/>
          <w:color w:val="000000" w:themeColor="text1"/>
          <w:kern w:val="2"/>
        </w:rPr>
        <w:t>9、 在审核工作结束时，项目负责人应向客户通报审核工作的基本情况，征询客户意见，与客户协商有关未决事项等的处理。</w:t>
      </w:r>
    </w:p>
    <w:p w:rsidR="00683742" w:rsidRDefault="00F87A27" w:rsidP="007302F8">
      <w:pPr>
        <w:pStyle w:val="a7"/>
        <w:adjustRightInd w:val="0"/>
        <w:snapToGrid w:val="0"/>
        <w:spacing w:beforeLines="50" w:line="360" w:lineRule="auto"/>
        <w:ind w:firstLineChars="200" w:firstLine="480"/>
        <w:jc w:val="both"/>
        <w:outlineLvl w:val="2"/>
        <w:rPr>
          <w:rFonts w:ascii="黑体" w:eastAsia="黑体" w:hAnsi="黑体" w:cs="宋体"/>
          <w:color w:val="000000" w:themeColor="text1"/>
          <w:kern w:val="2"/>
        </w:rPr>
      </w:pPr>
      <w:bookmarkStart w:id="7" w:name="_Toc8740"/>
      <w:r>
        <w:rPr>
          <w:rFonts w:ascii="黑体" w:eastAsia="黑体" w:hAnsi="黑体" w:cs="宋体" w:hint="eastAsia"/>
          <w:color w:val="000000" w:themeColor="text1"/>
          <w:kern w:val="2"/>
        </w:rPr>
        <w:t>五、助理职责</w:t>
      </w:r>
      <w:bookmarkEnd w:id="7"/>
    </w:p>
    <w:p w:rsidR="00683742" w:rsidRDefault="00F87A27" w:rsidP="007302F8">
      <w:pPr>
        <w:pStyle w:val="a7"/>
        <w:adjustRightInd w:val="0"/>
        <w:snapToGrid w:val="0"/>
        <w:spacing w:beforeLines="50" w:line="360" w:lineRule="auto"/>
        <w:ind w:firstLineChars="200" w:firstLine="480"/>
        <w:jc w:val="both"/>
        <w:rPr>
          <w:rFonts w:ascii="黑体" w:eastAsia="黑体" w:hAnsi="黑体" w:cs="宋体"/>
          <w:color w:val="000000" w:themeColor="text1"/>
          <w:kern w:val="2"/>
        </w:rPr>
      </w:pPr>
      <w:r>
        <w:rPr>
          <w:rFonts w:ascii="黑体" w:eastAsia="黑体" w:hAnsi="黑体" w:cs="宋体" w:hint="eastAsia"/>
          <w:color w:val="000000" w:themeColor="text1"/>
          <w:kern w:val="2"/>
        </w:rPr>
        <w:t>1、在审核工作开始前，业务助理人员应主动积极接受工作安排，不得以各种理由推辞；主动了解客户的生产经营情况和内部管理情况，了解约定项目计划，</w:t>
      </w:r>
      <w:r>
        <w:rPr>
          <w:rFonts w:ascii="黑体" w:eastAsia="黑体" w:hAnsi="黑体" w:cs="宋体" w:hint="eastAsia"/>
          <w:color w:val="000000" w:themeColor="text1"/>
          <w:kern w:val="2"/>
        </w:rPr>
        <w:lastRenderedPageBreak/>
        <w:t xml:space="preserve">收集可供参考的法律、法规、制度等资料。 </w:t>
      </w:r>
    </w:p>
    <w:p w:rsidR="00683742" w:rsidRDefault="00F87A27" w:rsidP="007302F8">
      <w:pPr>
        <w:pStyle w:val="a7"/>
        <w:widowControl/>
        <w:adjustRightInd w:val="0"/>
        <w:snapToGrid w:val="0"/>
        <w:spacing w:beforeLines="50" w:line="360" w:lineRule="auto"/>
        <w:ind w:firstLineChars="200" w:firstLine="480"/>
        <w:jc w:val="both"/>
        <w:rPr>
          <w:rFonts w:ascii="黑体" w:eastAsia="黑体" w:hAnsi="黑体" w:cs="宋体"/>
          <w:color w:val="000000" w:themeColor="text1"/>
          <w:kern w:val="2"/>
        </w:rPr>
      </w:pPr>
      <w:r>
        <w:rPr>
          <w:rFonts w:ascii="黑体" w:eastAsia="黑体" w:hAnsi="黑体" w:cs="宋体" w:hint="eastAsia"/>
          <w:color w:val="000000" w:themeColor="text1"/>
          <w:kern w:val="2"/>
        </w:rPr>
        <w:t>2、 在审核工作中，业务助理人员应严格按照审核方案运作，在执行程序过程中，勤于思考，善于捕捉和发现问题，遇有把握不准的问题，应在独立思考后，向项目负责人请示解决方案。严禁“走过场”或回避重大问题。</w:t>
      </w:r>
    </w:p>
    <w:p w:rsidR="00683742" w:rsidRDefault="00F87A27" w:rsidP="007302F8">
      <w:pPr>
        <w:pStyle w:val="a7"/>
        <w:adjustRightInd w:val="0"/>
        <w:snapToGrid w:val="0"/>
        <w:spacing w:beforeLines="50" w:line="360" w:lineRule="auto"/>
        <w:ind w:firstLineChars="200" w:firstLine="480"/>
        <w:jc w:val="both"/>
        <w:rPr>
          <w:rFonts w:ascii="黑体" w:eastAsia="黑体" w:hAnsi="黑体" w:cs="宋体"/>
          <w:color w:val="000000" w:themeColor="text1"/>
          <w:kern w:val="2"/>
        </w:rPr>
      </w:pPr>
      <w:r>
        <w:rPr>
          <w:rFonts w:ascii="黑体" w:eastAsia="黑体" w:hAnsi="黑体" w:cs="宋体" w:hint="eastAsia"/>
          <w:color w:val="000000" w:themeColor="text1"/>
          <w:kern w:val="2"/>
        </w:rPr>
        <w:t>3、对于已经完成的工作内容，业务助理人员应及时通过电子邮件、语音和视频工具等向项目负责人汇报执行情况和结果，并通过项目负责人的审核提高审核质量，降低审核风险。</w:t>
      </w:r>
    </w:p>
    <w:p w:rsidR="00683742" w:rsidRDefault="00F87A27" w:rsidP="007302F8">
      <w:pPr>
        <w:pStyle w:val="a7"/>
        <w:adjustRightInd w:val="0"/>
        <w:snapToGrid w:val="0"/>
        <w:spacing w:beforeLines="50" w:line="360" w:lineRule="auto"/>
        <w:ind w:firstLineChars="200" w:firstLine="480"/>
        <w:jc w:val="both"/>
        <w:rPr>
          <w:rFonts w:ascii="黑体" w:eastAsia="黑体" w:hAnsi="黑体" w:cs="宋体"/>
          <w:color w:val="000000" w:themeColor="text1"/>
          <w:kern w:val="2"/>
        </w:rPr>
      </w:pPr>
      <w:r>
        <w:rPr>
          <w:rFonts w:ascii="黑体" w:eastAsia="黑体" w:hAnsi="黑体" w:cs="宋体" w:hint="eastAsia"/>
          <w:color w:val="000000" w:themeColor="text1"/>
          <w:kern w:val="2"/>
        </w:rPr>
        <w:t>4、业务助理人员应合理把握审核进度和审核时间，在保证审核质量的前提下，努力提高审核工效；与其他员工及时沟通信息，对于相互关联的调整事项，应作到资料共享，共同研究，避免过量审核或重复审核。</w:t>
      </w:r>
    </w:p>
    <w:p w:rsidR="00683742" w:rsidRDefault="00F87A27" w:rsidP="007302F8">
      <w:pPr>
        <w:pStyle w:val="a7"/>
        <w:adjustRightInd w:val="0"/>
        <w:snapToGrid w:val="0"/>
        <w:spacing w:beforeLines="50" w:line="360" w:lineRule="auto"/>
        <w:ind w:firstLineChars="200" w:firstLine="480"/>
        <w:jc w:val="both"/>
        <w:rPr>
          <w:rFonts w:ascii="黑体" w:eastAsia="黑体" w:hAnsi="黑体" w:cs="宋体"/>
          <w:color w:val="000000" w:themeColor="text1"/>
          <w:kern w:val="2"/>
        </w:rPr>
      </w:pPr>
      <w:r>
        <w:rPr>
          <w:rFonts w:ascii="黑体" w:eastAsia="黑体" w:hAnsi="黑体" w:cs="宋体" w:hint="eastAsia"/>
          <w:color w:val="000000" w:themeColor="text1"/>
          <w:kern w:val="2"/>
        </w:rPr>
        <w:t xml:space="preserve">5、 对于资深助理人员，应负责对初次上岗员工的业务操作进行指导，并对其工作能力和实际表现进行评价。   </w:t>
      </w:r>
    </w:p>
    <w:p w:rsidR="00683742" w:rsidRDefault="00F87A27" w:rsidP="007302F8">
      <w:pPr>
        <w:pStyle w:val="a7"/>
        <w:adjustRightInd w:val="0"/>
        <w:snapToGrid w:val="0"/>
        <w:spacing w:beforeLines="50" w:line="360" w:lineRule="auto"/>
        <w:jc w:val="center"/>
        <w:outlineLvl w:val="0"/>
        <w:rPr>
          <w:rFonts w:ascii="黑体" w:eastAsia="黑体" w:hAnsi="黑体"/>
          <w:b/>
          <w:color w:val="000000" w:themeColor="text1"/>
        </w:rPr>
      </w:pPr>
      <w:bookmarkStart w:id="8" w:name="_Toc17391"/>
      <w:r>
        <w:rPr>
          <w:rFonts w:ascii="黑体" w:eastAsia="黑体" w:hAnsi="黑体" w:hint="eastAsia"/>
          <w:b/>
          <w:color w:val="000000" w:themeColor="text1"/>
        </w:rPr>
        <w:t>第二章 企业所得税审核业务几点注意的事项</w:t>
      </w:r>
      <w:bookmarkEnd w:id="8"/>
    </w:p>
    <w:p w:rsidR="00683742" w:rsidRDefault="00F87A27" w:rsidP="007302F8">
      <w:pPr>
        <w:pStyle w:val="a7"/>
        <w:adjustRightInd w:val="0"/>
        <w:snapToGrid w:val="0"/>
        <w:spacing w:beforeLines="50" w:line="360" w:lineRule="auto"/>
        <w:ind w:firstLineChars="200" w:firstLine="480"/>
        <w:jc w:val="both"/>
        <w:outlineLvl w:val="2"/>
        <w:rPr>
          <w:rFonts w:ascii="黑体" w:eastAsia="黑体" w:hAnsi="黑体"/>
          <w:color w:val="000000" w:themeColor="text1"/>
        </w:rPr>
      </w:pPr>
      <w:bookmarkStart w:id="9" w:name="_Toc16677"/>
      <w:r>
        <w:rPr>
          <w:rFonts w:ascii="黑体" w:eastAsia="黑体" w:hAnsi="黑体" w:hint="eastAsia"/>
          <w:color w:val="000000" w:themeColor="text1"/>
        </w:rPr>
        <w:t>一、初步业务活动</w:t>
      </w:r>
      <w:bookmarkEnd w:id="9"/>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初步业务活动工作涉及编制初步业务活动程序表、业务承接评价表或业务保持评价表等工作底稿，以及评价遵守相关职业道德要求和与客户签订的审核业务约定书等，审核项目组通常通过询问被审核单位、查阅相关文件资料、与前任注册税务师沟通（如涉及）、检查以前年度工作底稿（如涉及）等方式实施并完成相关工作。</w:t>
      </w:r>
    </w:p>
    <w:p w:rsidR="00683742" w:rsidRDefault="00F87A27" w:rsidP="007302F8">
      <w:pPr>
        <w:pStyle w:val="a7"/>
        <w:adjustRightInd w:val="0"/>
        <w:snapToGrid w:val="0"/>
        <w:spacing w:beforeLines="50" w:line="360" w:lineRule="auto"/>
        <w:ind w:firstLineChars="200" w:firstLine="480"/>
        <w:jc w:val="both"/>
        <w:outlineLvl w:val="2"/>
        <w:rPr>
          <w:rFonts w:ascii="黑体" w:eastAsia="黑体" w:hAnsi="黑体"/>
          <w:color w:val="000000" w:themeColor="text1"/>
        </w:rPr>
      </w:pPr>
      <w:bookmarkStart w:id="10" w:name="_Toc22508"/>
      <w:r>
        <w:rPr>
          <w:rFonts w:ascii="黑体" w:eastAsia="黑体" w:hAnsi="黑体" w:hint="eastAsia"/>
          <w:color w:val="000000" w:themeColor="text1"/>
        </w:rPr>
        <w:t>二、风险评估</w:t>
      </w:r>
      <w:bookmarkEnd w:id="10"/>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1、行业状况、法律环境及监管环境以及其他外部因素。向被审核单位财务销售主管询问主要产品、行业发展状况等信息通过邮件向被审核单位获取被审核单位及其所处行业的研究报告；获取被审核单位的关键业绩指标（如销售毛利率、市场占有率等）并与同行业中规模相近的企业进行比较；考虑当前的宏观经济状况以及未来的发展趋势对被审核单位经营活动的影响等。</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2、被审核单位的性质。向董事长等高级管理人员询问被审核单位所有权结</w:t>
      </w:r>
      <w:r>
        <w:rPr>
          <w:rFonts w:ascii="黑体" w:eastAsia="黑体" w:hAnsi="黑体" w:hint="eastAsia"/>
          <w:color w:val="000000" w:themeColor="text1"/>
        </w:rPr>
        <w:lastRenderedPageBreak/>
        <w:t>构、治理结构、组织结构、近期主要投资、筹资情况向销售人员询问相关市场信息，如主要客户和合同、付款条件、主要竞争者、定价政策、营销策略等查阅组织结构图、治理结构图、公司章程，主要销售、采购、投资、债务合同等；利用以前年度审核工作核实被审核单位主要生产经营场所等。</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3、对会计政策的选择和运用。向财务负责人询问被审核单位采用的主要会计政策、会计政策变更的情况、财务人员配备和构成情况等；查阅被审核单位会计工作手册、操作指引等财务资料和内部报告；向财务负责人询问对重大和非常规交易的会计处理方法；向财务人员询问实施新会计准则的情况等。</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4、被审核单位的目标、战略以及相关经营风险。向董事长等高级管理人员询问被审核单位实施的或准备实施的目标和战略；查阅被审核单位经营规划和其他文件向董事长等高级管理人员询问行业发展、开发新产品或提供新服务、业务扩张、监管要求、本期及未来的融资条件、信息技术的运用带来的相关风险等。</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5、对财务业绩的衡量和评价。查阅被审核单位管理层和员工业绩考核与激励性报酬政策、分部信息与不同层次部门的业绩报告等实施分析程序，将内部财务业绩指标与被审核单位设定的目标值进行比较，与竞争对手的业绩进行比较，分析业绩趋势等；查阅外部机构发布的报告，如分析师报告、信用评级机构的报告等。</w:t>
      </w:r>
    </w:p>
    <w:p w:rsidR="00683742" w:rsidRDefault="00F87A27" w:rsidP="007302F8">
      <w:pPr>
        <w:pStyle w:val="a7"/>
        <w:adjustRightInd w:val="0"/>
        <w:snapToGrid w:val="0"/>
        <w:spacing w:beforeLines="50" w:line="360" w:lineRule="auto"/>
        <w:ind w:firstLineChars="200" w:firstLine="480"/>
        <w:jc w:val="both"/>
        <w:outlineLvl w:val="2"/>
        <w:rPr>
          <w:rFonts w:ascii="黑体" w:eastAsia="黑体" w:hAnsi="黑体"/>
          <w:color w:val="000000" w:themeColor="text1"/>
        </w:rPr>
      </w:pPr>
      <w:bookmarkStart w:id="11" w:name="_Toc1486"/>
      <w:r>
        <w:rPr>
          <w:rFonts w:ascii="黑体" w:eastAsia="黑体" w:hAnsi="黑体" w:hint="eastAsia"/>
          <w:color w:val="000000" w:themeColor="text1"/>
        </w:rPr>
        <w:t>三、审核结论的评述</w:t>
      </w:r>
      <w:bookmarkEnd w:id="11"/>
    </w:p>
    <w:p w:rsidR="00683742" w:rsidRDefault="00F87A27" w:rsidP="007302F8">
      <w:pPr>
        <w:pStyle w:val="a7"/>
        <w:adjustRightInd w:val="0"/>
        <w:snapToGrid w:val="0"/>
        <w:spacing w:beforeLines="50" w:line="360" w:lineRule="auto"/>
        <w:ind w:firstLineChars="200" w:firstLine="480"/>
        <w:jc w:val="both"/>
        <w:rPr>
          <w:rFonts w:ascii="黑体" w:eastAsia="黑体" w:hAnsi="黑体" w:cs="宋体"/>
          <w:color w:val="000000" w:themeColor="text1"/>
          <w:kern w:val="2"/>
        </w:rPr>
      </w:pPr>
      <w:r>
        <w:rPr>
          <w:rFonts w:ascii="黑体" w:eastAsia="黑体" w:hAnsi="黑体" w:cs="宋体" w:hint="eastAsia"/>
          <w:color w:val="000000" w:themeColor="text1"/>
          <w:kern w:val="2"/>
        </w:rPr>
        <w:t>1、注册税务师对内控制度有效性、合法性的评述</w:t>
      </w:r>
    </w:p>
    <w:p w:rsidR="00683742" w:rsidRDefault="00F87A27" w:rsidP="007302F8">
      <w:pPr>
        <w:pStyle w:val="a7"/>
        <w:adjustRightInd w:val="0"/>
        <w:snapToGrid w:val="0"/>
        <w:spacing w:beforeLines="50" w:line="360" w:lineRule="auto"/>
        <w:ind w:firstLineChars="200" w:firstLine="480"/>
        <w:jc w:val="both"/>
        <w:rPr>
          <w:rFonts w:ascii="黑体" w:eastAsia="黑体" w:hAnsi="黑体" w:cs="宋体"/>
          <w:color w:val="000000" w:themeColor="text1"/>
          <w:kern w:val="2"/>
        </w:rPr>
      </w:pPr>
      <w:r>
        <w:rPr>
          <w:rFonts w:ascii="黑体" w:eastAsia="黑体" w:hAnsi="黑体" w:cs="宋体" w:hint="eastAsia"/>
          <w:color w:val="000000" w:themeColor="text1"/>
          <w:kern w:val="2"/>
        </w:rPr>
        <w:t>注册税务师在审核过程中，经实施控制测试，是否发现贯彻执行内部控制制度不具有合法性的证据，是否准备合理充分信赖被审核单位的内部控制制度。</w:t>
      </w:r>
    </w:p>
    <w:p w:rsidR="00683742" w:rsidRDefault="00F87A27" w:rsidP="007302F8">
      <w:pPr>
        <w:pStyle w:val="a7"/>
        <w:adjustRightInd w:val="0"/>
        <w:snapToGrid w:val="0"/>
        <w:spacing w:beforeLines="50" w:line="360" w:lineRule="auto"/>
        <w:ind w:firstLineChars="200" w:firstLine="480"/>
        <w:jc w:val="both"/>
        <w:rPr>
          <w:rFonts w:ascii="黑体" w:eastAsia="黑体" w:hAnsi="黑体" w:cs="宋体"/>
          <w:color w:val="000000" w:themeColor="text1"/>
          <w:kern w:val="2"/>
        </w:rPr>
      </w:pPr>
      <w:r>
        <w:rPr>
          <w:rFonts w:ascii="黑体" w:eastAsia="黑体" w:hAnsi="黑体" w:cs="宋体" w:hint="eastAsia"/>
          <w:color w:val="000000" w:themeColor="text1"/>
          <w:kern w:val="2"/>
        </w:rPr>
        <w:t>2、企业所得税汇算清缴有关的各项内部证据和外部证据相关性、可靠性的评述</w:t>
      </w:r>
    </w:p>
    <w:p w:rsidR="00683742" w:rsidRDefault="00F87A27" w:rsidP="007302F8">
      <w:pPr>
        <w:pStyle w:val="a7"/>
        <w:adjustRightInd w:val="0"/>
        <w:snapToGrid w:val="0"/>
        <w:spacing w:beforeLines="50" w:line="360" w:lineRule="auto"/>
        <w:ind w:firstLineChars="150" w:firstLine="360"/>
        <w:jc w:val="both"/>
        <w:rPr>
          <w:rFonts w:ascii="黑体" w:eastAsia="黑体" w:hAnsi="黑体" w:cs="宋体"/>
          <w:color w:val="000000" w:themeColor="text1"/>
          <w:kern w:val="2"/>
        </w:rPr>
      </w:pPr>
      <w:r>
        <w:rPr>
          <w:rFonts w:ascii="黑体" w:eastAsia="黑体" w:hAnsi="黑体" w:cs="宋体" w:hint="eastAsia"/>
          <w:color w:val="000000" w:themeColor="text1"/>
          <w:kern w:val="2"/>
        </w:rPr>
        <w:t>（1）相关性。我们在审核过程中，对企业所得税汇算清缴审核事项有关的会计核算资料和纳税申报资料等内部证据和外部证据，按准则规定的程序进行审核，所取得的证据资料是否能够支持企业所得税汇算清缴审核结论。</w:t>
      </w:r>
    </w:p>
    <w:p w:rsidR="00683742" w:rsidRDefault="00F87A27" w:rsidP="007302F8">
      <w:pPr>
        <w:pStyle w:val="a7"/>
        <w:adjustRightInd w:val="0"/>
        <w:snapToGrid w:val="0"/>
        <w:spacing w:beforeLines="50" w:line="360" w:lineRule="auto"/>
        <w:ind w:firstLineChars="150" w:firstLine="360"/>
        <w:jc w:val="both"/>
        <w:rPr>
          <w:rFonts w:ascii="黑体" w:eastAsia="黑体" w:hAnsi="黑体" w:cs="宋体"/>
          <w:color w:val="000000" w:themeColor="text1"/>
          <w:kern w:val="2"/>
        </w:rPr>
      </w:pPr>
      <w:r>
        <w:rPr>
          <w:rFonts w:ascii="黑体" w:eastAsia="黑体" w:hAnsi="黑体" w:cs="宋体" w:hint="eastAsia"/>
          <w:color w:val="000000" w:themeColor="text1"/>
          <w:kern w:val="2"/>
        </w:rPr>
        <w:t>（2）可靠性。我们在审核过程中，按照审核程序，依据法定的审核评价标准，</w:t>
      </w:r>
      <w:r>
        <w:rPr>
          <w:rFonts w:ascii="黑体" w:eastAsia="黑体" w:hAnsi="黑体" w:cs="宋体" w:hint="eastAsia"/>
          <w:color w:val="000000" w:themeColor="text1"/>
          <w:kern w:val="2"/>
        </w:rPr>
        <w:lastRenderedPageBreak/>
        <w:t>对取得的有关证据资料，进行鉴别和判断后，没有发现被审核单位申报不实的证据，应当认为被审核单位的企业所得税汇算清缴申报事项具有法律真实性。</w:t>
      </w:r>
    </w:p>
    <w:p w:rsidR="00683742" w:rsidRDefault="00F87A27" w:rsidP="007302F8">
      <w:pPr>
        <w:pStyle w:val="a7"/>
        <w:adjustRightInd w:val="0"/>
        <w:snapToGrid w:val="0"/>
        <w:spacing w:beforeLines="50" w:line="360" w:lineRule="auto"/>
        <w:ind w:firstLineChars="200" w:firstLine="480"/>
        <w:jc w:val="both"/>
        <w:rPr>
          <w:rFonts w:ascii="黑体" w:eastAsia="黑体" w:hAnsi="黑体" w:cs="宋体"/>
          <w:color w:val="000000" w:themeColor="text1"/>
          <w:kern w:val="2"/>
        </w:rPr>
      </w:pPr>
      <w:r>
        <w:rPr>
          <w:rFonts w:ascii="黑体" w:eastAsia="黑体" w:hAnsi="黑体" w:cs="宋体" w:hint="eastAsia"/>
          <w:color w:val="000000" w:themeColor="text1"/>
          <w:kern w:val="2"/>
        </w:rPr>
        <w:t>3、对纳税人提供的会计资料及纳税资料等进行审核、验证、计算和进行职业推断的情况</w:t>
      </w:r>
    </w:p>
    <w:p w:rsidR="00683742" w:rsidRDefault="00F87A27" w:rsidP="007302F8">
      <w:pPr>
        <w:pStyle w:val="a7"/>
        <w:adjustRightInd w:val="0"/>
        <w:snapToGrid w:val="0"/>
        <w:spacing w:beforeLines="50" w:line="360" w:lineRule="auto"/>
        <w:ind w:firstLineChars="150" w:firstLine="360"/>
        <w:jc w:val="both"/>
        <w:rPr>
          <w:rFonts w:ascii="黑体" w:eastAsia="黑体" w:hAnsi="黑体" w:cs="宋体"/>
          <w:color w:val="000000" w:themeColor="text1"/>
          <w:kern w:val="2"/>
        </w:rPr>
      </w:pPr>
      <w:r>
        <w:rPr>
          <w:rFonts w:ascii="黑体" w:eastAsia="黑体" w:hAnsi="黑体" w:cs="宋体" w:hint="eastAsia"/>
          <w:color w:val="000000" w:themeColor="text1"/>
          <w:kern w:val="2"/>
        </w:rPr>
        <w:t>（1）审核事项符合法定性标准，涉及的会计资料及纳税资料符合国家法律、法规及税收有关规定。</w:t>
      </w:r>
    </w:p>
    <w:p w:rsidR="00683742" w:rsidRDefault="00F87A27" w:rsidP="007302F8">
      <w:pPr>
        <w:pStyle w:val="a7"/>
        <w:adjustRightInd w:val="0"/>
        <w:snapToGrid w:val="0"/>
        <w:spacing w:beforeLines="50" w:line="360" w:lineRule="auto"/>
        <w:ind w:firstLineChars="150" w:firstLine="360"/>
        <w:jc w:val="both"/>
        <w:rPr>
          <w:rFonts w:ascii="黑体" w:eastAsia="黑体" w:hAnsi="黑体" w:cs="宋体"/>
          <w:color w:val="000000" w:themeColor="text1"/>
          <w:kern w:val="2"/>
        </w:rPr>
      </w:pPr>
      <w:r>
        <w:rPr>
          <w:rFonts w:ascii="黑体" w:eastAsia="黑体" w:hAnsi="黑体" w:cs="宋体" w:hint="eastAsia"/>
          <w:color w:val="000000" w:themeColor="text1"/>
          <w:kern w:val="2"/>
        </w:rPr>
        <w:t>（2）注册税务师已经按相关准则的规定实施了必要的审核程序，审核过程未受到限制。</w:t>
      </w:r>
    </w:p>
    <w:p w:rsidR="00683742" w:rsidRDefault="00F87A27" w:rsidP="007302F8">
      <w:pPr>
        <w:pStyle w:val="a7"/>
        <w:adjustRightInd w:val="0"/>
        <w:snapToGrid w:val="0"/>
        <w:spacing w:beforeLines="50" w:line="360" w:lineRule="auto"/>
        <w:ind w:firstLineChars="150" w:firstLine="360"/>
        <w:jc w:val="both"/>
        <w:rPr>
          <w:rFonts w:ascii="黑体" w:eastAsia="黑体" w:hAnsi="黑体" w:cs="宋体"/>
          <w:color w:val="000000" w:themeColor="text1"/>
          <w:kern w:val="2"/>
        </w:rPr>
      </w:pPr>
      <w:r>
        <w:rPr>
          <w:rFonts w:ascii="黑体" w:eastAsia="黑体" w:hAnsi="黑体" w:cs="宋体" w:hint="eastAsia"/>
          <w:color w:val="000000" w:themeColor="text1"/>
          <w:kern w:val="2"/>
        </w:rPr>
        <w:t>（3）注册税务师获取了审核事项所需的充分、适当的证据，完全可以确认企业所得税的具体纳税金额。</w:t>
      </w:r>
    </w:p>
    <w:p w:rsidR="00683742" w:rsidRDefault="00F87A27" w:rsidP="007302F8">
      <w:pPr>
        <w:pStyle w:val="a7"/>
        <w:adjustRightInd w:val="0"/>
        <w:snapToGrid w:val="0"/>
        <w:spacing w:beforeLines="50" w:line="360" w:lineRule="auto"/>
        <w:jc w:val="center"/>
        <w:outlineLvl w:val="0"/>
        <w:rPr>
          <w:rFonts w:ascii="黑体" w:eastAsia="黑体" w:hAnsi="黑体"/>
          <w:b/>
          <w:color w:val="000000" w:themeColor="text1"/>
        </w:rPr>
      </w:pPr>
      <w:bookmarkStart w:id="12" w:name="_Toc3383"/>
      <w:r>
        <w:rPr>
          <w:rFonts w:ascii="黑体" w:eastAsia="黑体" w:hAnsi="黑体" w:hint="eastAsia"/>
          <w:b/>
          <w:color w:val="000000" w:themeColor="text1"/>
        </w:rPr>
        <w:t>第三章  非接触审核具体审核程序及审核要点</w:t>
      </w:r>
      <w:bookmarkEnd w:id="12"/>
    </w:p>
    <w:p w:rsidR="00683742" w:rsidRDefault="00F87A27" w:rsidP="007302F8">
      <w:pPr>
        <w:pStyle w:val="a7"/>
        <w:adjustRightInd w:val="0"/>
        <w:snapToGrid w:val="0"/>
        <w:spacing w:beforeLines="50" w:line="360" w:lineRule="auto"/>
        <w:jc w:val="both"/>
        <w:outlineLvl w:val="1"/>
        <w:rPr>
          <w:rFonts w:ascii="黑体" w:eastAsia="黑体" w:hAnsi="黑体"/>
          <w:b/>
          <w:color w:val="000000" w:themeColor="text1"/>
        </w:rPr>
      </w:pPr>
      <w:bookmarkStart w:id="13" w:name="_Toc19652"/>
      <w:r>
        <w:rPr>
          <w:rFonts w:ascii="黑体" w:eastAsia="黑体" w:hAnsi="黑体" w:hint="eastAsia"/>
          <w:b/>
          <w:color w:val="000000" w:themeColor="text1"/>
        </w:rPr>
        <w:t>第一部分：非接触审核所需资料清单（提供电子版或扫描件）</w:t>
      </w:r>
      <w:bookmarkEnd w:id="13"/>
    </w:p>
    <w:p w:rsidR="00683742" w:rsidRDefault="00F87A27" w:rsidP="007302F8">
      <w:pPr>
        <w:spacing w:beforeLines="50" w:line="360" w:lineRule="auto"/>
        <w:ind w:firstLineChars="200" w:firstLine="480"/>
        <w:outlineLvl w:val="2"/>
        <w:rPr>
          <w:rFonts w:ascii="黑体" w:eastAsia="黑体" w:hAnsi="黑体" w:cs="Times New Roman"/>
          <w:color w:val="000000" w:themeColor="text1"/>
          <w:kern w:val="0"/>
          <w:sz w:val="24"/>
          <w:szCs w:val="24"/>
        </w:rPr>
      </w:pPr>
      <w:bookmarkStart w:id="14" w:name="_Toc12790"/>
      <w:r>
        <w:rPr>
          <w:rFonts w:ascii="黑体" w:eastAsia="黑体" w:hAnsi="黑体" w:cs="Times New Roman" w:hint="eastAsia"/>
          <w:color w:val="000000" w:themeColor="text1"/>
          <w:kern w:val="0"/>
          <w:sz w:val="24"/>
          <w:szCs w:val="24"/>
        </w:rPr>
        <w:t>一、基础资料</w:t>
      </w:r>
      <w:bookmarkEnd w:id="14"/>
    </w:p>
    <w:p w:rsidR="00683742" w:rsidRDefault="00F87A27" w:rsidP="007302F8">
      <w:pPr>
        <w:numPr>
          <w:ilvl w:val="0"/>
          <w:numId w:val="1"/>
        </w:numPr>
        <w:spacing w:beforeLines="50" w:line="360" w:lineRule="auto"/>
        <w:ind w:firstLineChars="200" w:firstLine="480"/>
        <w:rPr>
          <w:rFonts w:ascii="黑体" w:eastAsia="黑体" w:hAnsi="黑体" w:cs="黑体"/>
          <w:sz w:val="24"/>
          <w:szCs w:val="24"/>
        </w:rPr>
      </w:pPr>
      <w:r>
        <w:rPr>
          <w:rFonts w:ascii="黑体" w:eastAsia="黑体" w:hAnsi="黑体" w:cs="黑体" w:hint="eastAsia"/>
          <w:sz w:val="24"/>
          <w:szCs w:val="24"/>
        </w:rPr>
        <w:t>公司自成立之日起详细的工商资料</w:t>
      </w:r>
    </w:p>
    <w:p w:rsidR="00683742" w:rsidRDefault="00F87A27" w:rsidP="007302F8">
      <w:pPr>
        <w:numPr>
          <w:ilvl w:val="0"/>
          <w:numId w:val="1"/>
        </w:numPr>
        <w:spacing w:beforeLines="50" w:line="360" w:lineRule="auto"/>
        <w:ind w:firstLineChars="200" w:firstLine="480"/>
        <w:rPr>
          <w:rFonts w:ascii="黑体" w:eastAsia="黑体" w:hAnsi="黑体" w:cs="黑体"/>
          <w:sz w:val="24"/>
          <w:szCs w:val="24"/>
        </w:rPr>
      </w:pPr>
      <w:r>
        <w:rPr>
          <w:rFonts w:ascii="黑体" w:eastAsia="黑体" w:hAnsi="黑体" w:cs="黑体" w:hint="eastAsia"/>
          <w:sz w:val="24"/>
          <w:szCs w:val="24"/>
        </w:rPr>
        <w:t>公司同账面相符以及同报税务和工商一致的财务报表</w:t>
      </w:r>
    </w:p>
    <w:p w:rsidR="00683742" w:rsidRDefault="00F87A27" w:rsidP="007302F8">
      <w:pPr>
        <w:numPr>
          <w:ilvl w:val="0"/>
          <w:numId w:val="1"/>
        </w:numPr>
        <w:spacing w:beforeLines="50" w:line="360" w:lineRule="auto"/>
        <w:ind w:firstLineChars="200" w:firstLine="480"/>
        <w:rPr>
          <w:rFonts w:ascii="黑体" w:eastAsia="黑体" w:hAnsi="黑体" w:cs="黑体"/>
          <w:sz w:val="24"/>
          <w:szCs w:val="24"/>
        </w:rPr>
      </w:pPr>
      <w:r>
        <w:rPr>
          <w:rFonts w:ascii="黑体" w:eastAsia="黑体" w:hAnsi="黑体" w:cs="黑体" w:hint="eastAsia"/>
          <w:sz w:val="24"/>
          <w:szCs w:val="24"/>
        </w:rPr>
        <w:t>公司财务电子账套、凭证。（如果公司科目余额表中就各科目详细明细、往来明细列示非常清楚，则下面涉及的明细表可直接从账套中取数，不用单独提供，否则需要企业重新详细统计列示）、试算平衡表、主要科目的明细账或其他明细账簿记录、各类计算表其他相关的主要运营数据</w:t>
      </w:r>
    </w:p>
    <w:p w:rsidR="00683742" w:rsidRDefault="00F87A27" w:rsidP="007302F8">
      <w:pPr>
        <w:numPr>
          <w:ilvl w:val="0"/>
          <w:numId w:val="1"/>
        </w:numPr>
        <w:spacing w:beforeLines="50" w:line="360" w:lineRule="auto"/>
        <w:ind w:firstLineChars="200" w:firstLine="480"/>
        <w:rPr>
          <w:rFonts w:ascii="黑体" w:eastAsia="黑体" w:hAnsi="黑体" w:cs="黑体"/>
          <w:sz w:val="24"/>
          <w:szCs w:val="24"/>
        </w:rPr>
      </w:pPr>
      <w:r>
        <w:rPr>
          <w:rFonts w:ascii="黑体" w:eastAsia="黑体" w:hAnsi="黑体" w:cs="黑体" w:hint="eastAsia"/>
          <w:sz w:val="24"/>
          <w:szCs w:val="24"/>
        </w:rPr>
        <w:t>管理当局声明书</w:t>
      </w:r>
    </w:p>
    <w:p w:rsidR="00683742" w:rsidRDefault="00F87A27" w:rsidP="007302F8">
      <w:pPr>
        <w:spacing w:beforeLines="50" w:line="360" w:lineRule="auto"/>
        <w:ind w:firstLineChars="200" w:firstLine="480"/>
        <w:outlineLvl w:val="2"/>
        <w:rPr>
          <w:rFonts w:ascii="黑体" w:eastAsia="黑体" w:hAnsi="黑体" w:cs="黑体"/>
          <w:sz w:val="24"/>
          <w:szCs w:val="24"/>
        </w:rPr>
      </w:pPr>
      <w:bookmarkStart w:id="15" w:name="_Toc26435"/>
      <w:r>
        <w:rPr>
          <w:rFonts w:ascii="黑体" w:eastAsia="黑体" w:hAnsi="黑体" w:cs="黑体" w:hint="eastAsia"/>
          <w:sz w:val="24"/>
          <w:szCs w:val="24"/>
        </w:rPr>
        <w:t>二、财务类资料</w:t>
      </w:r>
      <w:bookmarkEnd w:id="15"/>
    </w:p>
    <w:p w:rsidR="00683742" w:rsidRDefault="00F87A27" w:rsidP="007302F8">
      <w:pPr>
        <w:numPr>
          <w:ilvl w:val="0"/>
          <w:numId w:val="2"/>
        </w:numPr>
        <w:spacing w:beforeLines="50" w:line="360" w:lineRule="auto"/>
        <w:ind w:firstLineChars="200" w:firstLine="480"/>
        <w:rPr>
          <w:rFonts w:ascii="黑体" w:eastAsia="黑体" w:hAnsi="黑体" w:cs="黑体"/>
          <w:sz w:val="24"/>
          <w:szCs w:val="24"/>
        </w:rPr>
      </w:pPr>
      <w:r>
        <w:rPr>
          <w:rFonts w:ascii="黑体" w:eastAsia="黑体" w:hAnsi="黑体" w:cs="黑体" w:hint="eastAsia"/>
          <w:sz w:val="24"/>
          <w:szCs w:val="24"/>
        </w:rPr>
        <w:t>货币资金：现金盘点表、银行及各非金融机构对账单、余额调节表、票据承兑协议、保证金及质保金合同</w:t>
      </w:r>
    </w:p>
    <w:p w:rsidR="00683742" w:rsidRDefault="00F87A27" w:rsidP="007302F8">
      <w:pPr>
        <w:numPr>
          <w:ilvl w:val="0"/>
          <w:numId w:val="2"/>
        </w:numPr>
        <w:spacing w:beforeLines="50" w:line="360" w:lineRule="auto"/>
        <w:ind w:firstLineChars="200" w:firstLine="480"/>
        <w:rPr>
          <w:rFonts w:ascii="黑体" w:eastAsia="黑体" w:hAnsi="黑体" w:cs="黑体"/>
          <w:sz w:val="24"/>
          <w:szCs w:val="24"/>
        </w:rPr>
      </w:pPr>
      <w:r>
        <w:rPr>
          <w:rFonts w:ascii="黑体" w:eastAsia="黑体" w:hAnsi="黑体" w:cs="黑体" w:hint="eastAsia"/>
          <w:sz w:val="24"/>
          <w:szCs w:val="24"/>
        </w:rPr>
        <w:t>存货：存货的采购、购销合同</w:t>
      </w:r>
    </w:p>
    <w:p w:rsidR="00683742" w:rsidRDefault="00F87A27" w:rsidP="007302F8">
      <w:pPr>
        <w:numPr>
          <w:ilvl w:val="0"/>
          <w:numId w:val="2"/>
        </w:numPr>
        <w:spacing w:beforeLines="50" w:line="360" w:lineRule="auto"/>
        <w:ind w:firstLineChars="200" w:firstLine="480"/>
        <w:rPr>
          <w:rFonts w:ascii="黑体" w:eastAsia="黑体" w:hAnsi="黑体" w:cs="黑体"/>
          <w:sz w:val="24"/>
          <w:szCs w:val="24"/>
        </w:rPr>
      </w:pPr>
      <w:r>
        <w:rPr>
          <w:rFonts w:ascii="黑体" w:eastAsia="黑体" w:hAnsi="黑体" w:cs="黑体" w:hint="eastAsia"/>
          <w:sz w:val="24"/>
          <w:szCs w:val="24"/>
        </w:rPr>
        <w:t>长期股权投资：股权投资协议或合同、被投资公司的营业执照、被投资</w:t>
      </w:r>
      <w:r>
        <w:rPr>
          <w:rFonts w:ascii="黑体" w:eastAsia="黑体" w:hAnsi="黑体" w:cs="黑体" w:hint="eastAsia"/>
          <w:sz w:val="24"/>
          <w:szCs w:val="24"/>
        </w:rPr>
        <w:lastRenderedPageBreak/>
        <w:t>公司的投资年度及以后年度会计报表及审核报告</w:t>
      </w:r>
    </w:p>
    <w:p w:rsidR="00683742" w:rsidRDefault="00F87A27" w:rsidP="007302F8">
      <w:pPr>
        <w:numPr>
          <w:ilvl w:val="0"/>
          <w:numId w:val="2"/>
        </w:numPr>
        <w:spacing w:beforeLines="50" w:line="360" w:lineRule="auto"/>
        <w:ind w:firstLineChars="200" w:firstLine="480"/>
        <w:rPr>
          <w:rFonts w:ascii="黑体" w:eastAsia="黑体" w:hAnsi="黑体" w:cs="黑体"/>
          <w:sz w:val="24"/>
          <w:szCs w:val="24"/>
        </w:rPr>
      </w:pPr>
      <w:r>
        <w:rPr>
          <w:rFonts w:ascii="黑体" w:eastAsia="黑体" w:hAnsi="黑体" w:cs="黑体" w:hint="eastAsia"/>
          <w:sz w:val="24"/>
          <w:szCs w:val="24"/>
        </w:rPr>
        <w:t>固定资产：固定资产权证（自建固定资产提供工程项目合同、工程结算书）、固定资产清单及折旧计算表（请核对提供的清单的每期期初、当期增加、当期减少、当期期末是否与账面一致、新增的固定资产清单及对应的新增固定资产的采购合同、发票、付款单（先提供大额、报废固定资产报废审批表）</w:t>
      </w:r>
    </w:p>
    <w:p w:rsidR="00683742" w:rsidRDefault="00F87A27" w:rsidP="007302F8">
      <w:pPr>
        <w:numPr>
          <w:ilvl w:val="0"/>
          <w:numId w:val="2"/>
        </w:numPr>
        <w:spacing w:beforeLines="50" w:line="360" w:lineRule="auto"/>
        <w:ind w:firstLineChars="200" w:firstLine="480"/>
        <w:rPr>
          <w:rFonts w:ascii="黑体" w:eastAsia="黑体" w:hAnsi="黑体" w:cs="黑体"/>
          <w:sz w:val="24"/>
          <w:szCs w:val="24"/>
        </w:rPr>
      </w:pPr>
      <w:r>
        <w:rPr>
          <w:rFonts w:ascii="黑体" w:eastAsia="黑体" w:hAnsi="黑体" w:cs="黑体" w:hint="eastAsia"/>
          <w:sz w:val="24"/>
          <w:szCs w:val="24"/>
        </w:rPr>
        <w:t>无形资产：无形资产明细表、土地、专利权证、有相关合同取合同证复印件</w:t>
      </w:r>
    </w:p>
    <w:p w:rsidR="00683742" w:rsidRDefault="00F87A27" w:rsidP="007302F8">
      <w:pPr>
        <w:numPr>
          <w:ilvl w:val="0"/>
          <w:numId w:val="2"/>
        </w:numPr>
        <w:spacing w:beforeLines="50" w:line="360" w:lineRule="auto"/>
        <w:ind w:firstLineChars="200" w:firstLine="480"/>
        <w:rPr>
          <w:rFonts w:ascii="黑体" w:eastAsia="黑体" w:hAnsi="黑体" w:cs="黑体"/>
          <w:sz w:val="24"/>
          <w:szCs w:val="24"/>
        </w:rPr>
      </w:pPr>
      <w:r>
        <w:rPr>
          <w:rFonts w:ascii="黑体" w:eastAsia="黑体" w:hAnsi="黑体" w:cs="黑体" w:hint="eastAsia"/>
          <w:sz w:val="24"/>
          <w:szCs w:val="24"/>
        </w:rPr>
        <w:t>在建工程：在建工程合同、文件批复、未完工程的工程进度情况说明</w:t>
      </w:r>
    </w:p>
    <w:p w:rsidR="00683742" w:rsidRDefault="00F87A27" w:rsidP="007302F8">
      <w:pPr>
        <w:numPr>
          <w:ilvl w:val="0"/>
          <w:numId w:val="2"/>
        </w:numPr>
        <w:spacing w:beforeLines="50" w:line="360" w:lineRule="auto"/>
        <w:ind w:firstLineChars="200" w:firstLine="480"/>
        <w:rPr>
          <w:rFonts w:ascii="黑体" w:eastAsia="黑体" w:hAnsi="黑体" w:cs="黑体"/>
          <w:sz w:val="24"/>
          <w:szCs w:val="24"/>
        </w:rPr>
      </w:pPr>
      <w:r>
        <w:rPr>
          <w:rFonts w:ascii="黑体" w:eastAsia="黑体" w:hAnsi="黑体" w:cs="黑体" w:hint="eastAsia"/>
          <w:sz w:val="24"/>
          <w:szCs w:val="24"/>
        </w:rPr>
        <w:t>长期待摊费用：新增的需要提供相关合同、长期待摊费用测算表</w:t>
      </w:r>
    </w:p>
    <w:p w:rsidR="00683742" w:rsidRDefault="00F87A27" w:rsidP="007302F8">
      <w:pPr>
        <w:numPr>
          <w:ilvl w:val="0"/>
          <w:numId w:val="2"/>
        </w:numPr>
        <w:spacing w:beforeLines="50" w:line="360" w:lineRule="auto"/>
        <w:ind w:firstLineChars="200" w:firstLine="480"/>
        <w:rPr>
          <w:rFonts w:ascii="黑体" w:eastAsia="黑体" w:hAnsi="黑体" w:cs="黑体"/>
          <w:sz w:val="24"/>
          <w:szCs w:val="24"/>
        </w:rPr>
      </w:pPr>
      <w:r>
        <w:rPr>
          <w:rFonts w:ascii="黑体" w:eastAsia="黑体" w:hAnsi="黑体" w:cs="黑体" w:hint="eastAsia"/>
          <w:sz w:val="24"/>
          <w:szCs w:val="24"/>
        </w:rPr>
        <w:t>短期借款/长期借款：借款合同、保证合同、抵押合同等</w:t>
      </w:r>
    </w:p>
    <w:p w:rsidR="00683742" w:rsidRDefault="00F87A27" w:rsidP="007302F8">
      <w:pPr>
        <w:numPr>
          <w:ilvl w:val="0"/>
          <w:numId w:val="2"/>
        </w:numPr>
        <w:spacing w:beforeLines="50" w:line="360" w:lineRule="auto"/>
        <w:ind w:firstLineChars="200" w:firstLine="480"/>
        <w:rPr>
          <w:rFonts w:ascii="黑体" w:eastAsia="黑体" w:hAnsi="黑体" w:cs="黑体"/>
          <w:sz w:val="24"/>
          <w:szCs w:val="24"/>
        </w:rPr>
      </w:pPr>
      <w:r>
        <w:rPr>
          <w:rFonts w:ascii="黑体" w:eastAsia="黑体" w:hAnsi="黑体" w:cs="黑体" w:hint="eastAsia"/>
          <w:sz w:val="24"/>
          <w:szCs w:val="24"/>
        </w:rPr>
        <w:t>应交税费：纳税申报表、税金缴款单、纳税鉴定或纳税通知及征、免、减税的批准文件和税务机关汇算清缴确认文件等相关资料扫描件</w:t>
      </w:r>
    </w:p>
    <w:p w:rsidR="00683742" w:rsidRDefault="00F87A27" w:rsidP="007302F8">
      <w:pPr>
        <w:numPr>
          <w:ilvl w:val="0"/>
          <w:numId w:val="2"/>
        </w:numPr>
        <w:spacing w:beforeLines="50" w:line="360" w:lineRule="auto"/>
        <w:ind w:firstLineChars="200" w:firstLine="480"/>
        <w:rPr>
          <w:rFonts w:ascii="黑体" w:eastAsia="黑体" w:hAnsi="黑体" w:cs="黑体"/>
          <w:sz w:val="24"/>
          <w:szCs w:val="24"/>
        </w:rPr>
      </w:pPr>
      <w:r>
        <w:rPr>
          <w:rFonts w:ascii="黑体" w:eastAsia="黑体" w:hAnsi="黑体" w:cs="黑体" w:hint="eastAsia"/>
          <w:sz w:val="24"/>
          <w:szCs w:val="24"/>
        </w:rPr>
        <w:t>应付职工薪酬：每月工资计提表、个税申报表、社保公积金缴纳回单等</w:t>
      </w:r>
    </w:p>
    <w:p w:rsidR="00683742" w:rsidRDefault="00F87A27" w:rsidP="007302F8">
      <w:pPr>
        <w:numPr>
          <w:ilvl w:val="0"/>
          <w:numId w:val="2"/>
        </w:numPr>
        <w:spacing w:beforeLines="50" w:line="360" w:lineRule="auto"/>
        <w:ind w:firstLineChars="200" w:firstLine="480"/>
        <w:rPr>
          <w:rFonts w:ascii="黑体" w:eastAsia="黑体" w:hAnsi="黑体" w:cs="黑体"/>
          <w:sz w:val="24"/>
          <w:szCs w:val="24"/>
        </w:rPr>
      </w:pPr>
      <w:r>
        <w:rPr>
          <w:rFonts w:ascii="黑体" w:eastAsia="黑体" w:hAnsi="黑体" w:cs="黑体" w:hint="eastAsia"/>
          <w:sz w:val="24"/>
          <w:szCs w:val="24"/>
        </w:rPr>
        <w:t>应付股利：股利分配的股东会或董事会决议、股利支付单据</w:t>
      </w:r>
    </w:p>
    <w:p w:rsidR="00683742" w:rsidRDefault="00F87A27" w:rsidP="007302F8">
      <w:pPr>
        <w:numPr>
          <w:ilvl w:val="0"/>
          <w:numId w:val="2"/>
        </w:numPr>
        <w:spacing w:beforeLines="50" w:line="360" w:lineRule="auto"/>
        <w:ind w:firstLineChars="200" w:firstLine="480"/>
        <w:rPr>
          <w:rFonts w:ascii="黑体" w:eastAsia="黑体" w:hAnsi="黑体" w:cs="黑体"/>
          <w:sz w:val="24"/>
          <w:szCs w:val="24"/>
        </w:rPr>
      </w:pPr>
      <w:r>
        <w:rPr>
          <w:rFonts w:ascii="黑体" w:eastAsia="黑体" w:hAnsi="黑体" w:cs="黑体" w:hint="eastAsia"/>
          <w:sz w:val="24"/>
          <w:szCs w:val="24"/>
        </w:rPr>
        <w:t>递延收益：加计递延收益的政府补助明细表，涉及的项目立项报告、政府补助文件、收款单据</w:t>
      </w:r>
    </w:p>
    <w:p w:rsidR="00683742" w:rsidRDefault="00F87A27" w:rsidP="007302F8">
      <w:pPr>
        <w:numPr>
          <w:ilvl w:val="0"/>
          <w:numId w:val="2"/>
        </w:numPr>
        <w:spacing w:beforeLines="50" w:line="360" w:lineRule="auto"/>
        <w:ind w:firstLineChars="200" w:firstLine="480"/>
        <w:rPr>
          <w:rFonts w:ascii="黑体" w:eastAsia="黑体" w:hAnsi="黑体" w:cs="黑体"/>
          <w:sz w:val="24"/>
          <w:szCs w:val="24"/>
        </w:rPr>
      </w:pPr>
      <w:r>
        <w:rPr>
          <w:rFonts w:ascii="黑体" w:eastAsia="黑体" w:hAnsi="黑体" w:cs="黑体" w:hint="eastAsia"/>
          <w:sz w:val="24"/>
          <w:szCs w:val="24"/>
        </w:rPr>
        <w:t>营业收入：收入核算确认方式说明、合同台账及主要销售合同扫描件</w:t>
      </w:r>
    </w:p>
    <w:p w:rsidR="00683742" w:rsidRDefault="00F87A27" w:rsidP="007302F8">
      <w:pPr>
        <w:numPr>
          <w:ilvl w:val="0"/>
          <w:numId w:val="2"/>
        </w:numPr>
        <w:spacing w:beforeLines="50" w:line="360" w:lineRule="auto"/>
        <w:ind w:firstLineChars="200" w:firstLine="480"/>
        <w:rPr>
          <w:rFonts w:ascii="黑体" w:eastAsia="黑体" w:hAnsi="黑体" w:cs="黑体"/>
          <w:sz w:val="24"/>
          <w:szCs w:val="24"/>
        </w:rPr>
      </w:pPr>
      <w:r>
        <w:rPr>
          <w:rFonts w:ascii="黑体" w:eastAsia="黑体" w:hAnsi="黑体" w:cs="黑体" w:hint="eastAsia"/>
          <w:sz w:val="24"/>
          <w:szCs w:val="24"/>
        </w:rPr>
        <w:t>营业成本：公司相关成本主要合同（如：附发票的材料采购合同）</w:t>
      </w:r>
    </w:p>
    <w:p w:rsidR="00683742" w:rsidRDefault="00F87A27" w:rsidP="007302F8">
      <w:pPr>
        <w:numPr>
          <w:ilvl w:val="0"/>
          <w:numId w:val="2"/>
        </w:numPr>
        <w:spacing w:beforeLines="50" w:line="360" w:lineRule="auto"/>
        <w:ind w:firstLineChars="200" w:firstLine="480"/>
        <w:rPr>
          <w:rFonts w:ascii="黑体" w:eastAsia="黑体" w:hAnsi="黑体" w:cs="黑体"/>
          <w:sz w:val="24"/>
          <w:szCs w:val="24"/>
        </w:rPr>
      </w:pPr>
      <w:r>
        <w:rPr>
          <w:rFonts w:ascii="黑体" w:eastAsia="黑体" w:hAnsi="黑体" w:cs="黑体" w:hint="eastAsia"/>
          <w:sz w:val="24"/>
          <w:szCs w:val="24"/>
        </w:rPr>
        <w:t>费用：大额费用合同及入账凭证及附件。</w:t>
      </w:r>
    </w:p>
    <w:p w:rsidR="00683742" w:rsidRDefault="00F87A27" w:rsidP="007302F8">
      <w:pPr>
        <w:numPr>
          <w:ilvl w:val="0"/>
          <w:numId w:val="2"/>
        </w:numPr>
        <w:spacing w:beforeLines="50" w:line="360" w:lineRule="auto"/>
        <w:ind w:firstLineChars="200" w:firstLine="480"/>
        <w:rPr>
          <w:rFonts w:ascii="黑体" w:eastAsia="黑体" w:hAnsi="黑体" w:cs="黑体"/>
          <w:sz w:val="24"/>
          <w:szCs w:val="24"/>
        </w:rPr>
      </w:pPr>
      <w:r>
        <w:rPr>
          <w:rFonts w:ascii="黑体" w:eastAsia="黑体" w:hAnsi="黑体" w:cs="黑体" w:hint="eastAsia"/>
          <w:sz w:val="24"/>
          <w:szCs w:val="24"/>
        </w:rPr>
        <w:t>投资收益：获取投资收益相关合同协议、董事会利润分配决议、投资收益有关凭证（按所列凭证号拍照）、转让、出售股票、债券的交易凭证</w:t>
      </w:r>
    </w:p>
    <w:p w:rsidR="00683742" w:rsidRDefault="00F87A27" w:rsidP="007302F8">
      <w:pPr>
        <w:numPr>
          <w:ilvl w:val="0"/>
          <w:numId w:val="2"/>
        </w:numPr>
        <w:spacing w:beforeLines="50" w:line="360" w:lineRule="auto"/>
        <w:ind w:firstLineChars="200" w:firstLine="480"/>
        <w:rPr>
          <w:rFonts w:ascii="黑体" w:eastAsia="黑体" w:hAnsi="黑体" w:cs="黑体"/>
          <w:sz w:val="24"/>
          <w:szCs w:val="24"/>
        </w:rPr>
      </w:pPr>
      <w:r>
        <w:rPr>
          <w:rFonts w:ascii="黑体" w:eastAsia="黑体" w:hAnsi="黑体" w:cs="黑体" w:hint="eastAsia"/>
          <w:sz w:val="24"/>
          <w:szCs w:val="24"/>
        </w:rPr>
        <w:t>营业外收支：政府补贴文件及对应的银行进账单、罚款取得罚款单或缴纳单</w:t>
      </w:r>
    </w:p>
    <w:p w:rsidR="00683742" w:rsidRDefault="00F87A27" w:rsidP="007302F8">
      <w:pPr>
        <w:numPr>
          <w:ilvl w:val="0"/>
          <w:numId w:val="2"/>
        </w:numPr>
        <w:spacing w:beforeLines="50" w:line="360" w:lineRule="auto"/>
        <w:ind w:firstLineChars="200" w:firstLine="480"/>
        <w:rPr>
          <w:rFonts w:ascii="黑体" w:eastAsia="黑体" w:hAnsi="黑体" w:cs="黑体"/>
          <w:sz w:val="24"/>
          <w:szCs w:val="24"/>
        </w:rPr>
      </w:pPr>
      <w:r>
        <w:rPr>
          <w:rFonts w:ascii="黑体" w:eastAsia="黑体" w:hAnsi="黑体" w:cs="黑体" w:hint="eastAsia"/>
          <w:sz w:val="24"/>
          <w:szCs w:val="24"/>
        </w:rPr>
        <w:t>其他：其他需提供的资料</w:t>
      </w:r>
    </w:p>
    <w:p w:rsidR="00683742" w:rsidRDefault="00F87A27" w:rsidP="007302F8">
      <w:pPr>
        <w:pStyle w:val="a7"/>
        <w:adjustRightInd w:val="0"/>
        <w:snapToGrid w:val="0"/>
        <w:spacing w:beforeLines="50" w:line="360" w:lineRule="auto"/>
        <w:jc w:val="both"/>
        <w:outlineLvl w:val="1"/>
        <w:rPr>
          <w:rFonts w:ascii="黑体" w:eastAsia="黑体" w:hAnsi="黑体"/>
          <w:color w:val="000000" w:themeColor="text1"/>
        </w:rPr>
      </w:pPr>
      <w:bookmarkStart w:id="16" w:name="_Toc26463"/>
      <w:r>
        <w:rPr>
          <w:rFonts w:ascii="黑体" w:eastAsia="黑体" w:hAnsi="黑体" w:hint="eastAsia"/>
          <w:b/>
          <w:color w:val="000000" w:themeColor="text1"/>
        </w:rPr>
        <w:lastRenderedPageBreak/>
        <w:t>第二部分：收入审核程序及审核要点</w:t>
      </w:r>
      <w:bookmarkEnd w:id="16"/>
    </w:p>
    <w:p w:rsidR="00683742" w:rsidRDefault="00F87A27" w:rsidP="007302F8">
      <w:pPr>
        <w:pStyle w:val="a7"/>
        <w:adjustRightInd w:val="0"/>
        <w:snapToGrid w:val="0"/>
        <w:spacing w:beforeLines="50" w:line="360" w:lineRule="auto"/>
        <w:ind w:firstLineChars="200" w:firstLine="480"/>
        <w:jc w:val="both"/>
        <w:outlineLvl w:val="3"/>
        <w:rPr>
          <w:rFonts w:ascii="黑体" w:eastAsia="黑体" w:hAnsi="黑体"/>
          <w:color w:val="000000" w:themeColor="text1"/>
        </w:rPr>
      </w:pPr>
      <w:bookmarkStart w:id="17" w:name="_Toc23278"/>
      <w:r>
        <w:rPr>
          <w:rFonts w:ascii="黑体" w:eastAsia="黑体" w:hAnsi="黑体" w:hint="eastAsia"/>
          <w:color w:val="000000" w:themeColor="text1"/>
        </w:rPr>
        <w:t>1、收入审核的基本原则与方法</w:t>
      </w:r>
      <w:bookmarkEnd w:id="17"/>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（1）审核和评价企业收入内部控制是否存在、有效且一贯遵守。</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（2）审核企业取得或编制收入项目明细表，复核加计是否正确，并与报表、总账、明细账及有关申报表等核对。</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（3）审核企业各类合同、协议的执行情况及其业务项目的合理性和经常性。</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（4）审核企业各个税种税目、税率选用的准确性。</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（5）审核收入的确认原则、方法以及会计制度与税收规定在收入确认上的差异的处理结果。</w:t>
      </w:r>
    </w:p>
    <w:p w:rsidR="00683742" w:rsidRDefault="00F87A27" w:rsidP="007302F8">
      <w:pPr>
        <w:pStyle w:val="a7"/>
        <w:adjustRightInd w:val="0"/>
        <w:snapToGrid w:val="0"/>
        <w:spacing w:beforeLines="50" w:line="360" w:lineRule="auto"/>
        <w:ind w:firstLineChars="200" w:firstLine="480"/>
        <w:jc w:val="both"/>
        <w:outlineLvl w:val="3"/>
        <w:rPr>
          <w:rFonts w:ascii="黑体" w:eastAsia="黑体" w:hAnsi="黑体"/>
          <w:color w:val="000000" w:themeColor="text1"/>
        </w:rPr>
      </w:pPr>
      <w:bookmarkStart w:id="18" w:name="_Toc26824"/>
      <w:r>
        <w:rPr>
          <w:rFonts w:ascii="黑体" w:eastAsia="黑体" w:hAnsi="黑体" w:hint="eastAsia"/>
          <w:color w:val="000000" w:themeColor="text1"/>
        </w:rPr>
        <w:t>2、主营业务收入的审核</w:t>
      </w:r>
      <w:bookmarkEnd w:id="18"/>
      <w:r w:rsidR="0029680A" w:rsidRPr="0029680A">
        <w:rPr>
          <w:rFonts w:ascii="黑体" w:eastAsia="黑体" w:hAnsi="黑体" w:hint="eastAsia"/>
          <w:color w:val="000000" w:themeColor="text1"/>
        </w:rPr>
        <w:t>程序及审核要点</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（1）主营收入的确认审核依据委托企业产品销售或提供服务方式和货款的结算方式，按以下几种情况分类审核：</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①采用直接收款销售方式的，按照税法规定的“应于货款已收到或取得收取货款的权利，并已将发票账单和提货单交给购货单位时，确认收入的实现”的审核标准，结合货币资金、应收账款、存货等科目，审核企业是否收到货款或取得收取货款的权利，发票账单和提货单是否已交付购货单位。应特别注意是否存在扣压结算凭证，将当期收入转入下期入账，或者虚开采用预收账款销售方式的，按照税法规定的“应于商品发出时，确认收入的实现”的审核标准，结合预收账款、存货等科目，审核企业是否存在对已收货款并已将商品发出的交易不入账、转为下期收入等重点风险隐患。</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②采用托收承付结算方式的，按照税法规定的“应于商品已经发出，劳务已经提供，并已将发票账单提交银行、办妥收款手续时，确认收入的实现”的审核标准，结合货币资金、应收账款、存货等科目，审核是否发货，托收手续是否办妥，托收承付结算回单是否正确，是否在发货并办妥托收手续当月作收入处理。</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③委托其他单位代销商品、劳务的，应结合存货、应收账款、银行存款等科目，审核是否在收到代销单位的代销清单，并按税法规定进行了收入的确认。</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lastRenderedPageBreak/>
        <w:t>④采用赊销和分期收款结算方式的，按照税法规定的“应按合同约定的收款日期，分期确认收入的实现”的审核标准，审核是否按合同约定的收款日期作收入处理，是否存在不按合同约定日期确认收入以及不入账、少入账、缓入账等重点风险隐患。</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⑤长期工程合同收入，按照税法规定的“应按完工进度或者完成工作量，确认收入的实现”的审核标准，审核收入的核算、确认方法是否合乎规定，并审核应计收入与实计收入是否一致。特别注意审核是否存在随意确认收入、虚增或虚减本期收入的风险隐患。</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（2）审核应税收入在不同税目之间、应税与减免税项目之间是否准确划分，是否存在高税率的收入记入低税率的收入情况。</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（3）审核企业从购货方取得的价外费用是否按规定入账。</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4）审核销售退回、销售折扣与折让业务是否合理，内容是否完整，相关手续是否符合税法规定；确认销售退回、销售折扣与折让的核算和税务处理是否正确。重点审核给予关联企业的销售折扣与折让是否合理，是否有利用折让和销售折扣而转利于关联单位等情形。</w:t>
      </w:r>
    </w:p>
    <w:p w:rsidR="00683742" w:rsidRDefault="00F87A27" w:rsidP="007302F8">
      <w:pPr>
        <w:pStyle w:val="a7"/>
        <w:adjustRightInd w:val="0"/>
        <w:snapToGrid w:val="0"/>
        <w:spacing w:beforeLines="50" w:line="360" w:lineRule="auto"/>
        <w:ind w:firstLineChars="200" w:firstLine="480"/>
        <w:jc w:val="both"/>
        <w:outlineLvl w:val="3"/>
        <w:rPr>
          <w:rFonts w:ascii="黑体" w:eastAsia="黑体" w:hAnsi="黑体"/>
          <w:color w:val="000000" w:themeColor="text1"/>
        </w:rPr>
      </w:pPr>
      <w:bookmarkStart w:id="19" w:name="_Toc31001"/>
      <w:r>
        <w:rPr>
          <w:rFonts w:ascii="黑体" w:eastAsia="黑体" w:hAnsi="黑体" w:hint="eastAsia"/>
          <w:color w:val="000000" w:themeColor="text1"/>
        </w:rPr>
        <w:t>3、其他业务收入的审核</w:t>
      </w:r>
      <w:bookmarkEnd w:id="19"/>
      <w:r w:rsidR="0029680A" w:rsidRPr="0029680A">
        <w:rPr>
          <w:rFonts w:ascii="黑体" w:eastAsia="黑体" w:hAnsi="黑体" w:hint="eastAsia"/>
          <w:color w:val="000000" w:themeColor="text1"/>
        </w:rPr>
        <w:t>程序及审核要点</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（1）其他业务收入依销售方式按以下情况确认：</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①代购代销手续费收入，重点审核代销清单的开出日期、商品的数量及金额的正确性。</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②包装物出租收入，按照税法规定的“应于企业收到租金或取得收取租金的权利时，确认收入的实现”的审核标准，重点审核发票账单和包装物发货单是否已交付租赁包装物单位，税法存在扣压结算凭证，将当期收入转入下期入账，或将当期未实现的收入虚转为收入记账，在下期予以冲销等重点风险隐患。</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（2）审核包装物押金收入，有无逾期未返还买方，未按规定确认收入的情形。</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（3）对经常性的其他业务收入，从经营部门的记录中审核其完整性。审核其他业务收入计价的合理性，审核是否存明显转利于关联公司或截留收入。</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lastRenderedPageBreak/>
        <w:t>（4）审核其他业务收入涉及的相关各个税种是否及时申报足额纳税。</w:t>
      </w:r>
    </w:p>
    <w:p w:rsidR="00683742" w:rsidRDefault="00F87A27" w:rsidP="007302F8">
      <w:pPr>
        <w:pStyle w:val="a7"/>
        <w:adjustRightInd w:val="0"/>
        <w:snapToGrid w:val="0"/>
        <w:spacing w:beforeLines="50" w:line="360" w:lineRule="auto"/>
        <w:ind w:firstLineChars="200" w:firstLine="480"/>
        <w:jc w:val="both"/>
        <w:outlineLvl w:val="3"/>
        <w:rPr>
          <w:rFonts w:ascii="黑体" w:eastAsia="黑体" w:hAnsi="黑体"/>
          <w:color w:val="000000" w:themeColor="text1"/>
        </w:rPr>
      </w:pPr>
      <w:bookmarkStart w:id="20" w:name="_Toc61"/>
      <w:r>
        <w:rPr>
          <w:rFonts w:ascii="黑体" w:eastAsia="黑体" w:hAnsi="黑体" w:hint="eastAsia"/>
          <w:color w:val="000000" w:themeColor="text1"/>
        </w:rPr>
        <w:t>4、补贴收入的审核</w:t>
      </w:r>
      <w:bookmarkEnd w:id="20"/>
      <w:r w:rsidR="0029680A" w:rsidRPr="0029680A">
        <w:rPr>
          <w:rFonts w:ascii="黑体" w:eastAsia="黑体" w:hAnsi="黑体" w:hint="eastAsia"/>
          <w:color w:val="000000" w:themeColor="text1"/>
        </w:rPr>
        <w:t>程序及审核要点</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（1）审核实际收到的补贴收入是否经过有关部门批准。</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（2）审核取得减免税或地方性财政返还、国家财政性补贴和其他补贴收入是否按规定入账。</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3）查看“其他应付款”等往来项目，核实是否存在上述业务长期挂往来、未结转损益问题；查看“盈余公积”、“营业外收入”、“其他应付款”等会计科目，核对取得的补贴收入金额，并与纳税申报情况比对，核实是否将补贴收入申报纳税。</w:t>
      </w:r>
    </w:p>
    <w:p w:rsidR="00683742" w:rsidRDefault="00F87A27" w:rsidP="007302F8">
      <w:pPr>
        <w:pStyle w:val="a7"/>
        <w:adjustRightInd w:val="0"/>
        <w:snapToGrid w:val="0"/>
        <w:spacing w:beforeLines="50" w:line="360" w:lineRule="auto"/>
        <w:ind w:firstLineChars="200" w:firstLine="480"/>
        <w:jc w:val="both"/>
        <w:outlineLvl w:val="3"/>
        <w:rPr>
          <w:rFonts w:ascii="黑体" w:eastAsia="黑体" w:hAnsi="黑体"/>
          <w:color w:val="000000" w:themeColor="text1"/>
        </w:rPr>
      </w:pPr>
      <w:bookmarkStart w:id="21" w:name="_Toc20858"/>
      <w:r>
        <w:rPr>
          <w:rFonts w:ascii="黑体" w:eastAsia="黑体" w:hAnsi="黑体" w:hint="eastAsia"/>
          <w:color w:val="000000" w:themeColor="text1"/>
        </w:rPr>
        <w:t>5、视同销售收入的审核</w:t>
      </w:r>
      <w:bookmarkEnd w:id="21"/>
      <w:r w:rsidR="0029680A" w:rsidRPr="0029680A">
        <w:rPr>
          <w:rFonts w:ascii="黑体" w:eastAsia="黑体" w:hAnsi="黑体" w:hint="eastAsia"/>
          <w:color w:val="000000" w:themeColor="text1"/>
        </w:rPr>
        <w:t>程序及审核要点</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（1）视同销售是指会计核算不作为销售，而税法规定作为销售，确认收入计缴税金的商品或劳务的转移行为。</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（2）采用以旧换新方式销售的，重点审核是否按新货物的同期销售价格确定销售额，不得扣减旧货物的收购价格。</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（3）采用以物易物方式销售的，重点审核以物易物的双方是否都作购销处理。</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（4）采用售后回购方式销售的，重点审核是否分解为销售、购入处理。</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（5）商业企业向供货方收取的返利、返点及进场费、上架费等，是否按规定冲减成本及进项税金或确认收入和交纳税金。</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（6）审核用于在建工程、管理部门、非生产机构、赞助、集资、广告样品、职工福利、奖励等方面的材料、自产、委托加工产品，是否按税收规定视同销售确认收入并缴纳相关税金。</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（7）将非货币性资产用于投资分配、捐赠、抵偿债务等是否按税收规定视同销售确认收入并缴纳相关税金。</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（8）增值税、消费税、营业税、企业所得税等税种视同销售货物行为是否符合税法的有关规定。</w:t>
      </w:r>
    </w:p>
    <w:p w:rsidR="00683742" w:rsidRDefault="00F87A27" w:rsidP="007302F8">
      <w:pPr>
        <w:pStyle w:val="a7"/>
        <w:adjustRightInd w:val="0"/>
        <w:snapToGrid w:val="0"/>
        <w:spacing w:beforeLines="50" w:line="360" w:lineRule="auto"/>
        <w:jc w:val="both"/>
        <w:outlineLvl w:val="1"/>
        <w:rPr>
          <w:rFonts w:ascii="黑体" w:eastAsia="黑体" w:hAnsi="黑体"/>
          <w:b/>
          <w:color w:val="000000" w:themeColor="text1"/>
        </w:rPr>
      </w:pPr>
      <w:bookmarkStart w:id="22" w:name="_Toc15602"/>
      <w:r>
        <w:rPr>
          <w:rFonts w:ascii="黑体" w:eastAsia="黑体" w:hAnsi="黑体" w:hint="eastAsia"/>
          <w:b/>
          <w:color w:val="000000" w:themeColor="text1"/>
        </w:rPr>
        <w:lastRenderedPageBreak/>
        <w:t>第三部分：成本审核程序及审核要点</w:t>
      </w:r>
      <w:bookmarkEnd w:id="22"/>
    </w:p>
    <w:p w:rsidR="00683742" w:rsidRDefault="00F87A27" w:rsidP="007302F8">
      <w:pPr>
        <w:pStyle w:val="a7"/>
        <w:adjustRightInd w:val="0"/>
        <w:snapToGrid w:val="0"/>
        <w:spacing w:beforeLines="50" w:line="360" w:lineRule="auto"/>
        <w:ind w:firstLineChars="200" w:firstLine="480"/>
        <w:jc w:val="both"/>
        <w:outlineLvl w:val="3"/>
        <w:rPr>
          <w:rFonts w:ascii="黑体" w:eastAsia="黑体" w:hAnsi="黑体"/>
          <w:color w:val="000000" w:themeColor="text1"/>
        </w:rPr>
      </w:pPr>
      <w:bookmarkStart w:id="23" w:name="_Toc25453"/>
      <w:r>
        <w:rPr>
          <w:rFonts w:ascii="黑体" w:eastAsia="黑体" w:hAnsi="黑体" w:hint="eastAsia"/>
          <w:color w:val="000000" w:themeColor="text1"/>
        </w:rPr>
        <w:t>1、成本费用审核的基本原则与方法</w:t>
      </w:r>
      <w:bookmarkEnd w:id="23"/>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（1）评价有关成本费用的内部控制是否存在、有效且一贯遵守。</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（2）获取相关成本费用明细表，复核计算是否正确，并与有关的总账、明细账、会计报表及有关的申报表等核对。</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（3）成本费用各明细子目内容的记录、归集是否正确。</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（4）对大额业务抽查其收支的配比性，审核有无少计或多计业务支出。</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（5）会计处理的正确性，注意会计制度与税收规定间在成本费用确认上的差异。</w:t>
      </w:r>
    </w:p>
    <w:p w:rsidR="00683742" w:rsidRDefault="00F87A27" w:rsidP="007302F8">
      <w:pPr>
        <w:pStyle w:val="a7"/>
        <w:adjustRightInd w:val="0"/>
        <w:snapToGrid w:val="0"/>
        <w:spacing w:beforeLines="50" w:line="360" w:lineRule="auto"/>
        <w:ind w:firstLineChars="200" w:firstLine="480"/>
        <w:jc w:val="both"/>
        <w:outlineLvl w:val="3"/>
        <w:rPr>
          <w:rFonts w:ascii="黑体" w:eastAsia="黑体" w:hAnsi="黑体"/>
          <w:color w:val="000000" w:themeColor="text1"/>
        </w:rPr>
      </w:pPr>
      <w:bookmarkStart w:id="24" w:name="_Toc25090"/>
      <w:r>
        <w:rPr>
          <w:rFonts w:ascii="黑体" w:eastAsia="黑体" w:hAnsi="黑体" w:hint="eastAsia"/>
          <w:color w:val="000000" w:themeColor="text1"/>
        </w:rPr>
        <w:t>2、主营业务成本的审核程序（以工业企业生产成本为例）</w:t>
      </w:r>
      <w:bookmarkEnd w:id="24"/>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（1）审核明细账与总账、报表（在产品项目）是否相符；审核主营业务收入与主营业务成本等账户及其有关原始凭证，确认企业的经营收入与经营成本口径是否一致。</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2）获取生产成本分析表，分别列示各项主要费用及各产品的单位成本，采用分析性复核方法，将其与预算数、上期数或上年同期数、同行业平均数比较，分析增减变动情况，对有异常变动的情形，查明原因，作出正确处理。</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（3）采购成本的审核</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审核由购货价格、购货费用和税金构成的外购存货的实际成本。</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审核购买、委托加工存货发生的各项应缴税款是否完税并加计存货成本。</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审核直接归于存货实际成本的运输费、保险费、装卸费等采购费用是否符合税法的有关规定。</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（4）材料费用的审核</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cs="黑体" w:hint="eastAsia"/>
          <w:color w:val="000000" w:themeColor="text1"/>
        </w:rPr>
        <w:t>①</w:t>
      </w:r>
      <w:r>
        <w:rPr>
          <w:rFonts w:ascii="黑体" w:eastAsia="黑体" w:hAnsi="黑体" w:hint="eastAsia"/>
          <w:color w:val="000000" w:themeColor="text1"/>
        </w:rPr>
        <w:t>审核直接材料耗用数量是否真实</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——审核“生产成本”账户借方的有关内容、数据，与对应的“材料”类账</w:t>
      </w:r>
      <w:r>
        <w:rPr>
          <w:rFonts w:ascii="黑体" w:eastAsia="黑体" w:hAnsi="黑体" w:hint="eastAsia"/>
          <w:color w:val="000000" w:themeColor="text1"/>
        </w:rPr>
        <w:lastRenderedPageBreak/>
        <w:t>户贷方内容、数据核对，并追查至领料单、退料单和材料费用分配表等凭证资料。</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实施截止性测试。抽查会计决算日前后若干天的领料单、生产记录、成本计算单，结合材料单耗和投入产出比率等资料，审核领用的材料品名、规格、型号、数量是否与耗用的相一致，是否将不属于本期负担的材料费用加计本期生产成本，特别应注意期末大宗领用材料。</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cs="黑体" w:hint="eastAsia"/>
          <w:color w:val="000000" w:themeColor="text1"/>
        </w:rPr>
        <w:t>②</w:t>
      </w:r>
      <w:r>
        <w:rPr>
          <w:rFonts w:ascii="黑体" w:eastAsia="黑体" w:hAnsi="黑体" w:hint="eastAsia"/>
          <w:color w:val="000000" w:themeColor="text1"/>
        </w:rPr>
        <w:t>确认材料计价是否正确</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——实际成本计价条件下：了解计价方法，抽查材料费用分配表、领料单等凭证验算发出成本的计算是否正确，计算方法是否遵循了一贯性原则。</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——计划成本计价条件下：抽查材料成本差异计算表及有关的领料单等凭证，验证材料成本差异率及差异额的计算是否正确。</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cs="黑体" w:hint="eastAsia"/>
          <w:color w:val="000000" w:themeColor="text1"/>
        </w:rPr>
        <w:t>③</w:t>
      </w:r>
      <w:r>
        <w:rPr>
          <w:rFonts w:ascii="黑体" w:eastAsia="黑体" w:hAnsi="黑体" w:hint="eastAsia"/>
          <w:color w:val="000000" w:themeColor="text1"/>
        </w:rPr>
        <w:t>确认材料费用分配是否合理</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核实材料费用的分配对象是否真实，分配方法是否恰当。</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（5）辅助生产费用的审核</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审核有关凭证，审核辅助生产费用的归集是否正确。</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审核辅助生产费用是否在各部门之间正确分配，是否按税法的有关规定准确核算该费用的列支金额。</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（6）制造费用的审核</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审核制造费用中的重大数额项目、例外项目是否合理。</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审核当年度部分月份的制造费用明细账，是否存在异常会计事项。</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必要时，应对制造费用实施截止性测试。</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审核制造费用的分配标准是否合理。必要时，应重新测算制造费用分配率，并调整年末在产品与产成品成本。</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获取制造费用汇总表，并与生产成本账户进行核对，确认全年制造费用总额。</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（7）审核“生产成本”、“制造费用”明细账借方发生额并与领料单相核对，</w:t>
      </w:r>
      <w:r>
        <w:rPr>
          <w:rFonts w:ascii="黑体" w:eastAsia="黑体" w:hAnsi="黑体" w:hint="eastAsia"/>
          <w:color w:val="000000" w:themeColor="text1"/>
        </w:rPr>
        <w:lastRenderedPageBreak/>
        <w:t>以确认外购和委托加工收回的应税消费品是否用于连续生产应税消费品，当期用于连续生产的外购消费品的价款数及委托加工收回材料的相应税款数是否正确。</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（8）审核“生产成本”、“制造费用”的借方红字或非转入产成品的支出项目，并追查至有关的凭证，确认是否将加工修理修配收入、销售残次品、副产品、边角料等的其他收入直接冲减成本费用而未计收入。</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（9）在产品成本的审核</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采用存货步骤，审核在产品数量是否真实正确。</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审核在产品计价方法是否适应生产工艺特点，是否坚持一贯性原则。</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——约当产量法下，审核完工率和投料率及约当产量的计量是否正确；</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——定额法下，审核在产品负担的料工费定额成本计算是否正确，并将定额成本与实际相比较，差异较大时应予调整；</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——材料成本法下，审核原材料费用是否在成本中占较大比重；</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——固定成本法下，审核各月在产品数量是否均衡，年终是否对产品实地盘点并重新计算调整；</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——定额比例法下，审核各项定额是否合理，定额管理基础工作是否健全。</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（10）完工产品成本的审核</w:t>
      </w:r>
    </w:p>
    <w:p w:rsidR="00683742" w:rsidRDefault="00F87A27" w:rsidP="007302F8">
      <w:pPr>
        <w:pStyle w:val="a7"/>
        <w:adjustRightInd w:val="0"/>
        <w:snapToGrid w:val="0"/>
        <w:spacing w:beforeLines="50" w:line="384"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审核成本计算对象的选择和成本计算方法是否恰当，且体现一贯性原则。审核成本项目的设置是否合理，各项费用的归集与分配是否体现受益性原则。确认完工产品数量是否真实正确。分析主要产品单位成本及构成项目有无异常变动，结合在产品的计价方法，确认完工产品计价是否正确。</w:t>
      </w:r>
    </w:p>
    <w:p w:rsidR="00683742" w:rsidRDefault="00F87A27" w:rsidP="007302F8">
      <w:pPr>
        <w:pStyle w:val="a7"/>
        <w:adjustRightInd w:val="0"/>
        <w:snapToGrid w:val="0"/>
        <w:spacing w:beforeLines="50" w:line="384"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（11）审核工业企业以外的其他行业主营业务成本，应参照相关会计制度，按税法的有关规定进行。</w:t>
      </w:r>
    </w:p>
    <w:p w:rsidR="00683742" w:rsidRDefault="00F87A27" w:rsidP="007302F8">
      <w:pPr>
        <w:pStyle w:val="a7"/>
        <w:adjustRightInd w:val="0"/>
        <w:snapToGrid w:val="0"/>
        <w:spacing w:beforeLines="50" w:line="384" w:lineRule="auto"/>
        <w:ind w:firstLineChars="200" w:firstLine="480"/>
        <w:jc w:val="both"/>
        <w:outlineLvl w:val="3"/>
        <w:rPr>
          <w:rFonts w:ascii="黑体" w:eastAsia="黑体" w:hAnsi="黑体"/>
          <w:color w:val="000000" w:themeColor="text1"/>
        </w:rPr>
      </w:pPr>
      <w:bookmarkStart w:id="25" w:name="_Toc18978"/>
      <w:r>
        <w:rPr>
          <w:rFonts w:ascii="黑体" w:eastAsia="黑体" w:hAnsi="黑体" w:hint="eastAsia"/>
          <w:color w:val="000000" w:themeColor="text1"/>
        </w:rPr>
        <w:t>3、其他业务支出的审核</w:t>
      </w:r>
      <w:bookmarkEnd w:id="25"/>
      <w:r w:rsidR="0029680A">
        <w:rPr>
          <w:rFonts w:ascii="黑体" w:eastAsia="黑体" w:hAnsi="黑体" w:hint="eastAsia"/>
          <w:color w:val="000000" w:themeColor="text1"/>
        </w:rPr>
        <w:t>要点</w:t>
      </w:r>
    </w:p>
    <w:p w:rsidR="00683742" w:rsidRDefault="00F87A27" w:rsidP="007302F8">
      <w:pPr>
        <w:pStyle w:val="a7"/>
        <w:adjustRightInd w:val="0"/>
        <w:snapToGrid w:val="0"/>
        <w:spacing w:beforeLines="50" w:line="384"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（1）审核材料销售成本、代购代销费用，包装物出租成本、相关税金及附加等其他业务支出的核算内容是否正确，并与有关会计账表核对。</w:t>
      </w:r>
    </w:p>
    <w:p w:rsidR="00683742" w:rsidRDefault="00F87A27" w:rsidP="007302F8">
      <w:pPr>
        <w:pStyle w:val="a7"/>
        <w:adjustRightInd w:val="0"/>
        <w:snapToGrid w:val="0"/>
        <w:spacing w:beforeLines="50" w:line="384" w:lineRule="auto"/>
        <w:ind w:firstLineChars="150" w:firstLine="360"/>
        <w:jc w:val="both"/>
        <w:rPr>
          <w:rFonts w:ascii="黑体" w:eastAsia="黑体" w:hAnsi="黑体"/>
          <w:color w:val="000000" w:themeColor="text1"/>
        </w:rPr>
      </w:pPr>
      <w:r>
        <w:rPr>
          <w:rFonts w:ascii="黑体" w:eastAsia="黑体" w:hAnsi="黑体" w:hint="eastAsia"/>
          <w:color w:val="000000" w:themeColor="text1"/>
        </w:rPr>
        <w:lastRenderedPageBreak/>
        <w:t>（2）审核其他业务支出的会计处理与税务处理的差异，并作出相应处理。</w:t>
      </w:r>
    </w:p>
    <w:p w:rsidR="00683742" w:rsidRDefault="00F87A27" w:rsidP="007302F8">
      <w:pPr>
        <w:pStyle w:val="a7"/>
        <w:adjustRightInd w:val="0"/>
        <w:snapToGrid w:val="0"/>
        <w:spacing w:beforeLines="50" w:line="384" w:lineRule="auto"/>
        <w:ind w:firstLineChars="200" w:firstLine="480"/>
        <w:jc w:val="both"/>
        <w:outlineLvl w:val="3"/>
        <w:rPr>
          <w:rFonts w:ascii="黑体" w:eastAsia="黑体" w:hAnsi="黑体"/>
          <w:color w:val="000000" w:themeColor="text1"/>
        </w:rPr>
      </w:pPr>
      <w:bookmarkStart w:id="26" w:name="_Toc30806"/>
      <w:r>
        <w:rPr>
          <w:rFonts w:ascii="黑体" w:eastAsia="黑体" w:hAnsi="黑体" w:hint="eastAsia"/>
          <w:color w:val="000000" w:themeColor="text1"/>
        </w:rPr>
        <w:t>4、视同销售成本的审核</w:t>
      </w:r>
      <w:bookmarkEnd w:id="26"/>
      <w:r w:rsidR="0029680A">
        <w:rPr>
          <w:rFonts w:ascii="黑体" w:eastAsia="黑体" w:hAnsi="黑体" w:hint="eastAsia"/>
          <w:color w:val="000000" w:themeColor="text1"/>
        </w:rPr>
        <w:t>要点</w:t>
      </w:r>
    </w:p>
    <w:p w:rsidR="00683742" w:rsidRDefault="00F87A27" w:rsidP="007302F8">
      <w:pPr>
        <w:pStyle w:val="a7"/>
        <w:adjustRightInd w:val="0"/>
        <w:snapToGrid w:val="0"/>
        <w:spacing w:beforeLines="50" w:line="384"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（1）审核视同销售成本是否与按税法规定核算的视同销售收入数据的口径一致。</w:t>
      </w:r>
    </w:p>
    <w:p w:rsidR="00683742" w:rsidRDefault="00F87A27" w:rsidP="007302F8">
      <w:pPr>
        <w:pStyle w:val="a7"/>
        <w:adjustRightInd w:val="0"/>
        <w:snapToGrid w:val="0"/>
        <w:spacing w:beforeLines="50" w:line="384"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（2）审核企业自己生产或委托加工的产品用于在建工程、管理部门、非生产性机构、赞助、集资、广告、样品、职工福利、奖励等，是否按税法规定作为完工产品成本结转销售成本。</w:t>
      </w:r>
    </w:p>
    <w:p w:rsidR="00683742" w:rsidRDefault="00F87A27" w:rsidP="007302F8">
      <w:pPr>
        <w:pStyle w:val="a7"/>
        <w:adjustRightInd w:val="0"/>
        <w:snapToGrid w:val="0"/>
        <w:spacing w:beforeLines="50" w:line="384"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（3）审核企业处置非货币性资产用于投资、分配、捐赠、抵偿债务等，是否按税法规定将实际取得的成本结转销售成本。</w:t>
      </w:r>
    </w:p>
    <w:p w:rsidR="00683742" w:rsidRDefault="00F87A27" w:rsidP="007302F8">
      <w:pPr>
        <w:pStyle w:val="a7"/>
        <w:adjustRightInd w:val="0"/>
        <w:snapToGrid w:val="0"/>
        <w:spacing w:beforeLines="50" w:line="384" w:lineRule="auto"/>
        <w:jc w:val="both"/>
        <w:outlineLvl w:val="1"/>
        <w:rPr>
          <w:rFonts w:ascii="黑体" w:eastAsia="黑体" w:hAnsi="黑体"/>
          <w:b/>
          <w:color w:val="000000" w:themeColor="text1"/>
        </w:rPr>
      </w:pPr>
      <w:bookmarkStart w:id="27" w:name="_Toc17264"/>
      <w:r>
        <w:rPr>
          <w:rFonts w:ascii="黑体" w:eastAsia="黑体" w:hAnsi="黑体" w:hint="eastAsia"/>
          <w:b/>
          <w:color w:val="000000" w:themeColor="text1"/>
        </w:rPr>
        <w:t>第四部分：投资收益审核要点</w:t>
      </w:r>
      <w:bookmarkEnd w:id="27"/>
    </w:p>
    <w:p w:rsidR="00683742" w:rsidRDefault="00F87A27" w:rsidP="007302F8">
      <w:pPr>
        <w:pStyle w:val="a7"/>
        <w:adjustRightInd w:val="0"/>
        <w:snapToGrid w:val="0"/>
        <w:spacing w:beforeLines="50" w:line="384"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1、获取或编制投资收益明细表，复核加计正确并计对与总账、报表发生额及明细账合计数是否相符。</w:t>
      </w:r>
    </w:p>
    <w:p w:rsidR="00683742" w:rsidRDefault="00F87A27" w:rsidP="007302F8">
      <w:pPr>
        <w:pStyle w:val="a7"/>
        <w:adjustRightInd w:val="0"/>
        <w:snapToGrid w:val="0"/>
        <w:spacing w:beforeLines="50" w:line="384"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2、与上期投资收益比较，结合长短期投资变动情况，分析本期投资收益是否存在异常现象，如有应查明原因，并作适当处理。</w:t>
      </w:r>
    </w:p>
    <w:p w:rsidR="00683742" w:rsidRDefault="00F87A27" w:rsidP="007302F8">
      <w:pPr>
        <w:pStyle w:val="a7"/>
        <w:adjustRightInd w:val="0"/>
        <w:snapToGrid w:val="0"/>
        <w:spacing w:beforeLines="50" w:line="384"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3、检查投资收益的会计凭证，并同短期投资、长期投资的审核结合起来，验证确定投资收益的计算依据是否充分，计算是否正确，期间归属是否恰当，并取证相关电子版合同协议和董事会决议。</w:t>
      </w:r>
    </w:p>
    <w:p w:rsidR="00683742" w:rsidRDefault="00F87A27" w:rsidP="007302F8">
      <w:pPr>
        <w:pStyle w:val="a7"/>
        <w:adjustRightInd w:val="0"/>
        <w:snapToGrid w:val="0"/>
        <w:spacing w:beforeLines="50" w:line="384"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4、对成本法核算下收到收益，应查验并取证被投资单位会计报表、董事会利润分配决议并审核是否与投资匹配。</w:t>
      </w:r>
    </w:p>
    <w:p w:rsidR="00683742" w:rsidRDefault="00F87A27" w:rsidP="007302F8">
      <w:pPr>
        <w:pStyle w:val="a7"/>
        <w:adjustRightInd w:val="0"/>
        <w:snapToGrid w:val="0"/>
        <w:spacing w:beforeLines="50" w:line="384"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5、审核“长期股权投资”、“可供出售金融资产”、“银行存款”、“无形资产”、“固定资产”、“存货”等明细账与有关凭证及签订的投资合同与协议，审核纳税人对外投资的方式和金额，了解该企业对投资单位是否拥有控制权，核算投资收益的方法是否符合税法的有关规定。</w:t>
      </w:r>
    </w:p>
    <w:p w:rsidR="00683742" w:rsidRDefault="00F87A27" w:rsidP="007302F8">
      <w:pPr>
        <w:pStyle w:val="a7"/>
        <w:adjustRightInd w:val="0"/>
        <w:snapToGrid w:val="0"/>
        <w:spacing w:beforeLines="50" w:line="384"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6、审核纳税人已实现的收益是否加计投资收益账户，有无利润分配分回实</w:t>
      </w:r>
      <w:r>
        <w:rPr>
          <w:rFonts w:ascii="黑体" w:eastAsia="黑体" w:hAnsi="黑体" w:hint="eastAsia"/>
          <w:color w:val="000000" w:themeColor="text1"/>
        </w:rPr>
        <w:lastRenderedPageBreak/>
        <w:t>物直接加计存货等账户，未按同类商品市价或其销售收入加计投资收益的情形。</w:t>
      </w:r>
    </w:p>
    <w:p w:rsidR="00683742" w:rsidRDefault="00F87A27" w:rsidP="007302F8">
      <w:pPr>
        <w:pStyle w:val="a7"/>
        <w:adjustRightInd w:val="0"/>
        <w:snapToGrid w:val="0"/>
        <w:spacing w:beforeLines="50" w:line="384"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7、审核纳税人以非货币性资产对外投资或向投资方分配，是否按销售和投资或销售和分配处理。</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8、检查国外的投资收益汇回是否存在重大限制，若存在重大限制，应说明原因。</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9、检查投资减值准备的会计处理是否正确，复核金额是否与长短期投资账面相符。</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10、检查转让、出售股票、债券的交易凭证是否真实、合法、会计处理是否正确。</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11、对本期发生收购或转让股权的，应与股权购买日或转让日的验证相结合，查验投资收益的核算是否正确。</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12、检查是否存在免税的投资收益或其他应纳税调整的项目，并作出记录。</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13、根据电子审核程序提出进一步需提供资料清单及沟通事项。</w:t>
      </w:r>
    </w:p>
    <w:p w:rsidR="00683742" w:rsidRDefault="00F87A27" w:rsidP="007302F8">
      <w:pPr>
        <w:pStyle w:val="a7"/>
        <w:adjustRightInd w:val="0"/>
        <w:snapToGrid w:val="0"/>
        <w:spacing w:beforeLines="50" w:line="360" w:lineRule="auto"/>
        <w:jc w:val="both"/>
        <w:outlineLvl w:val="1"/>
        <w:rPr>
          <w:rFonts w:ascii="黑体" w:eastAsia="黑体" w:hAnsi="黑体"/>
          <w:b/>
          <w:color w:val="000000" w:themeColor="text1"/>
        </w:rPr>
      </w:pPr>
      <w:bookmarkStart w:id="28" w:name="_Toc1202"/>
      <w:r>
        <w:rPr>
          <w:rFonts w:ascii="黑体" w:eastAsia="黑体" w:hAnsi="黑体" w:hint="eastAsia"/>
          <w:b/>
          <w:color w:val="000000" w:themeColor="text1"/>
        </w:rPr>
        <w:t>第五部分：三项费用非接触审核程序及审核要点</w:t>
      </w:r>
      <w:bookmarkEnd w:id="28"/>
    </w:p>
    <w:p w:rsidR="00683742" w:rsidRDefault="00F87A27" w:rsidP="007302F8">
      <w:pPr>
        <w:pStyle w:val="a7"/>
        <w:adjustRightInd w:val="0"/>
        <w:snapToGrid w:val="0"/>
        <w:spacing w:beforeLines="50" w:line="360" w:lineRule="auto"/>
        <w:ind w:firstLineChars="200" w:firstLine="482"/>
        <w:jc w:val="both"/>
        <w:outlineLvl w:val="2"/>
        <w:rPr>
          <w:rFonts w:ascii="黑体" w:eastAsia="黑体" w:hAnsi="黑体"/>
          <w:b/>
          <w:bCs/>
          <w:color w:val="000000" w:themeColor="text1"/>
        </w:rPr>
      </w:pPr>
      <w:bookmarkStart w:id="29" w:name="_Toc11818"/>
      <w:r>
        <w:rPr>
          <w:rFonts w:ascii="黑体" w:eastAsia="黑体" w:hAnsi="黑体" w:hint="eastAsia"/>
          <w:b/>
          <w:bCs/>
          <w:color w:val="000000" w:themeColor="text1"/>
        </w:rPr>
        <w:t>一、管理费用审核程序</w:t>
      </w:r>
      <w:bookmarkEnd w:id="29"/>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1、获取或编制管理费用明细表，复核加计正确并核对与总账、报表发生额及明细账合计数是否相符；</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2、检查明细项目的设置是否符合规定的核算内容与范围；</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3、将本年度管理费用与上年度的管理费用进行比较，本年度各个月份的管理费用进行比较，如有重大波动和异常情况应查明原因；</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4、选择管理费用项目中数额大的或与上期相比变动异常的项目，检查其企业提供的电子原始凭证（拍照或扫描件）是否合法，审批手续、权限是否合规，会计处理是否正确；</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5、将其中工资、福利费、折旧及各种摊销、减值准备等项目与有关账户的贷方发生额进行交叉复核，并作出相应记录；</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lastRenderedPageBreak/>
        <w:t>6、审核是否把资本性支出项目作为收益性支出项目加计管理费。</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7、审核企业是否按税法规定列支实际发生的合理的劳动保护支出，并确认计算该项支出金额的准确性。</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8、审核企业是否按税法规定剔除了向其关联企业支付的管理费。</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9、审核加计管理费的总部经费（公司经费）的具体项目是否符合税法的有关规定，核算的金额是否准确。</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10、审核企业</w:t>
      </w:r>
      <w:r w:rsidR="003730B1">
        <w:rPr>
          <w:rFonts w:ascii="黑体" w:eastAsia="黑体" w:hAnsi="黑体" w:hint="eastAsia"/>
          <w:color w:val="000000" w:themeColor="text1"/>
        </w:rPr>
        <w:t>计入</w:t>
      </w:r>
      <w:r>
        <w:rPr>
          <w:rFonts w:ascii="黑体" w:eastAsia="黑体" w:hAnsi="黑体" w:hint="eastAsia"/>
          <w:color w:val="000000" w:themeColor="text1"/>
        </w:rPr>
        <w:t>管理费用的差旅费、会议费、董事会费是否符合税法的有关规定，有关凭证（拍照或扫描件）和证明材料（拍照或扫描件）是否齐全。</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11、涉及到进行纳税调整事项的费用项目，应按相关的纳税调整事项审核要点进行核对，并将审核中发现的问题反映在相关的纳税调整事项审核表中。</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12、必要时，对管理费用实施截止日测试，检查有无跨期入账的现象。</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13、远程审核期间将与企业沟通事项和过程应在工作底稿中恰当反映。</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14、在导致无法对被审核单位实施现场审核的客观因素消除后，审核项目组应在第一时间联系被审核单位，以尽快实施追加现场审核工作，核对非接触审核获取的电子审核证据（相关凭证、合同资料照片或扫描件）执行与原件核对的追加程序，在审核工作底稿中特别注明原件核对工作的实施人员、核对时间和结果。</w:t>
      </w:r>
    </w:p>
    <w:p w:rsidR="00683742" w:rsidRDefault="00F87A27" w:rsidP="007302F8">
      <w:pPr>
        <w:pStyle w:val="a7"/>
        <w:adjustRightInd w:val="0"/>
        <w:snapToGrid w:val="0"/>
        <w:spacing w:beforeLines="50" w:line="360" w:lineRule="auto"/>
        <w:ind w:firstLineChars="200" w:firstLine="482"/>
        <w:jc w:val="both"/>
        <w:outlineLvl w:val="2"/>
        <w:rPr>
          <w:rFonts w:ascii="黑体" w:eastAsia="黑体" w:hAnsi="黑体"/>
          <w:b/>
          <w:bCs/>
          <w:color w:val="000000" w:themeColor="text1"/>
        </w:rPr>
      </w:pPr>
      <w:bookmarkStart w:id="30" w:name="_Toc11063"/>
      <w:r>
        <w:rPr>
          <w:rFonts w:ascii="黑体" w:eastAsia="黑体" w:hAnsi="黑体" w:hint="eastAsia"/>
          <w:b/>
          <w:bCs/>
          <w:color w:val="000000" w:themeColor="text1"/>
        </w:rPr>
        <w:t>二、销售费用审核程序</w:t>
      </w:r>
      <w:bookmarkEnd w:id="30"/>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1、获取或编制销售费用明细表：</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（1）复核其加计数是否正确，并与报表数、总账数和明细账合计数核对是否相符。</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（2）将销售费用中的工资、折旧等与相关的资产、负债科目核对，检查其勾稽关系的合理性。</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2、实施实质性分析程序：</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（1）考虑可获取信息的来源、可比性、性质和相关性以及与信息编制相关的控制，评价在对记录的金额或比率作出预期时使用数据的可靠性。</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lastRenderedPageBreak/>
        <w:t>（2）对已记录的金额作出预期，评价预期值是否足够精确以识别重大错报。</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（3）确定已记录金额与预期值之间可接受的、无需作进一步调查的可接受的差异额。</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（4）将已记录金额与期望值进行比较，识别需要进一步调查的差异。</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（5）调查差异：</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a.询问管理层，针对管理层的答复获取适当的审核证据；</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b.根据具体情况在必要时实施其他审核程序。</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3、审核明细表项目的设置，是否符合销售费用的范围及其有关规定。</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对销售费用进行分析：</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（1）核算分析各个月份销售费用总额及主要项目金额占主营业务收入的比率及趋势，并与上一年度进行比较，判断变动的合理性。对异常变动的情形，应追踪查明原因。</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（2）核算分析各个月份销售费用中主要项目发生额及占销售费用总额的比率，并与上一年度进行比较，判断其变动的合理性。</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4、审核企业发生的计入销售费用的佣金，是否符合税法的有关规定。</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5、审核从事商品流通业务的企业购入存货抵达仓库前发生的包装费、运杂费、运输存储过程中的保险费、装卸费、运输途中的合理损耗和入库前的挑选整理费用等购货费用按税法规定加计营业费用后，是否再加计销售费用等科目重复申报扣除。</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6、审核从事邮电等其他业务的企业发生的营业费用已加计营运成本后，是否再加计营业费用等科目重复申报扣除。</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7、审核销售费用明细账，确认是否剔除应加计材料采购成本的外地运杂费、向购货方收回的代垫费用等。</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8、对本期发生的销售费用，选取样本，检查其支持性文件，确定原始凭证是否齐全、记账凭证与原始凭证是否相符以及账务处理是否正确。</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lastRenderedPageBreak/>
        <w:t>9、重新核算或检查由产品质量保证产生的预计负债，确定其核算是否正确。</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10、从资产负债表日后的银行对账单或付款凭证中选取项目进行测试，检查支持性文件（如合同或发票），关注发票日期和支付日期，追踪已选取项目至相关费用明细表，检查费用所加计的会计期间，评价费用是否被记录于正确的会计期间。</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11、抽取资产负债表日前后相关凭证，实施截止测试，评价费用是否被记录于正确的会计期间。</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12、根据评估的舞弊风险等因素增加相应的审核程序。</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13、涉及到进行纳税调整事项的费用项目，应按相关的纳税调整事项审核要点进行核对，并将审核出的问题反映在相关的纳税调整事项审核表中。</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14、远程审核期间将与企业沟通事项和过程应在工作底稿中恰当反映。</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15、在导致无法对被审核单位实施现场审核的客观因素消除后，审核项目组应在第一时间联系被审核单位，以尽快实施追加现场审核工作，核对非接触审核获取的电子审核证据（相关凭证、合同资料照片或扫描件）执行与原件核对的追加程序，在审核工作底稿中特别注明原件核对工作的实施人员、核对时间和结果。</w:t>
      </w:r>
    </w:p>
    <w:p w:rsidR="00683742" w:rsidRDefault="00F87A27" w:rsidP="007302F8">
      <w:pPr>
        <w:pStyle w:val="a7"/>
        <w:adjustRightInd w:val="0"/>
        <w:snapToGrid w:val="0"/>
        <w:spacing w:beforeLines="50" w:line="360" w:lineRule="auto"/>
        <w:ind w:firstLineChars="200" w:firstLine="482"/>
        <w:jc w:val="both"/>
        <w:outlineLvl w:val="2"/>
        <w:rPr>
          <w:rFonts w:ascii="黑体" w:eastAsia="黑体" w:hAnsi="黑体"/>
          <w:b/>
          <w:bCs/>
          <w:color w:val="000000" w:themeColor="text1"/>
        </w:rPr>
      </w:pPr>
      <w:bookmarkStart w:id="31" w:name="_Toc17443"/>
      <w:r>
        <w:rPr>
          <w:rFonts w:ascii="黑体" w:eastAsia="黑体" w:hAnsi="黑体" w:hint="eastAsia"/>
          <w:b/>
          <w:bCs/>
          <w:color w:val="000000" w:themeColor="text1"/>
        </w:rPr>
        <w:t>三、财务费用审核程序</w:t>
      </w:r>
      <w:bookmarkEnd w:id="31"/>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1、获取或编制财务费用明细表，复核加计正确并核对与总账、报表发生额及明细账合计数是否相符。</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2、将本年度财务费用与上年度的财务费用及本年度各个月份的财务费用进行比较，如有重大波动和异常情况应查明原因。</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3、审核利息支出明细表，核实其债务的性质、产生的原因、用途，确认付息债务项目的真实性和核算的准确性。复核借款利息支出应计数，注意审核现金折扣的会计处理是否正确。</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4、分析比较企业计算利息支出的利率与一般商业贷款利率的差异，确认利息支出计价的合理性。对超过金融企业贷款利率部分进行纳税调整。</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5、审核利息收入项目。</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lastRenderedPageBreak/>
        <w:t>（1）获取利息收入分析表，初步评价利息项目的完整性。</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（2）抽查各银行账户或应收票据的利息通知单，审核其是否将实现的利息收入入账。期前已计提利息，实际收到时，是否冲转应收账款。</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（3）复核会计期间截止日应计利息计算表，审核其是否正确将应计利息收入列入本期损益。</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6、选择重要或异常的利息费用项目冲减财务费用项目，检查其原始凭证是否合法，会计处理是否正确，判断该项费用的合理性。</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7、必要时，对财务费用实施截止日测试，检查有无跨期入账的现象。</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8、审核汇兑损益明细表，检查汇兑损益核算方法是否正确，核对所用汇率是否正确。</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9、审核“其他”子目明细表，检查大额金融机构手续费的真实性。</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10、审核关联企业的利息支出，是否符合税法的规定。</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11、审核与未实现融资收益相关在当期确认的财务费用。企业采取分期收款销售商品时，按会计准则规定应收的合同或协议价款与其公允价值之间的差额，分期摊销冲减财务费用的金额，按税收规定进行纳税调整。</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12、远程审核期间将与企业沟通事项和过程应在工作底稿中恰当反映。</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13、在导致无法对被审核单位实施现场审核的客观因素消除后，审核项目组应在第一时间联系被审核单位，以尽快实施追加现场审核工作，核对非接触审核获取的电子审核证据（相关凭证、合同资料照片或扫描件）执行与原件核对的追加程序，在审核工作底稿中特别注明原件核对工作的实施人员、核对时间和结果。</w:t>
      </w:r>
    </w:p>
    <w:p w:rsidR="00683742" w:rsidRDefault="00F87A27" w:rsidP="007302F8">
      <w:pPr>
        <w:adjustRightInd w:val="0"/>
        <w:snapToGrid w:val="0"/>
        <w:spacing w:beforeLines="50" w:line="360" w:lineRule="auto"/>
        <w:ind w:firstLineChars="200" w:firstLine="482"/>
        <w:outlineLvl w:val="2"/>
        <w:rPr>
          <w:rFonts w:ascii="黑体" w:eastAsia="黑体" w:hAnsi="黑体"/>
          <w:color w:val="000000" w:themeColor="text1"/>
          <w:sz w:val="24"/>
          <w:szCs w:val="24"/>
        </w:rPr>
      </w:pPr>
      <w:bookmarkStart w:id="32" w:name="_Toc5080"/>
      <w:r>
        <w:rPr>
          <w:rFonts w:ascii="黑体" w:eastAsia="黑体" w:hAnsi="黑体" w:hint="eastAsia"/>
          <w:b/>
          <w:bCs/>
          <w:color w:val="000000" w:themeColor="text1"/>
          <w:sz w:val="24"/>
          <w:szCs w:val="24"/>
        </w:rPr>
        <w:t>四、扣除类调整项目审核要点</w:t>
      </w:r>
      <w:bookmarkEnd w:id="32"/>
    </w:p>
    <w:p w:rsidR="00683742" w:rsidRDefault="00F87A27" w:rsidP="007302F8">
      <w:pPr>
        <w:adjustRightInd w:val="0"/>
        <w:snapToGrid w:val="0"/>
        <w:spacing w:beforeLines="50" w:line="360" w:lineRule="auto"/>
        <w:ind w:firstLineChars="200" w:firstLine="482"/>
        <w:outlineLvl w:val="3"/>
        <w:rPr>
          <w:rFonts w:ascii="黑体" w:eastAsia="黑体" w:hAnsi="黑体"/>
          <w:b/>
          <w:color w:val="000000" w:themeColor="text1"/>
          <w:sz w:val="24"/>
          <w:szCs w:val="24"/>
        </w:rPr>
      </w:pPr>
      <w:bookmarkStart w:id="33" w:name="_Toc13635"/>
      <w:r>
        <w:rPr>
          <w:rFonts w:ascii="黑体" w:eastAsia="黑体" w:hAnsi="黑体"/>
          <w:b/>
          <w:color w:val="000000" w:themeColor="text1"/>
          <w:sz w:val="24"/>
          <w:szCs w:val="24"/>
        </w:rPr>
        <w:t>1</w:t>
      </w:r>
      <w:r>
        <w:rPr>
          <w:rFonts w:ascii="黑体" w:eastAsia="黑体" w:hAnsi="黑体" w:hint="eastAsia"/>
          <w:b/>
          <w:color w:val="000000" w:themeColor="text1"/>
          <w:sz w:val="24"/>
          <w:szCs w:val="24"/>
        </w:rPr>
        <w:t>、业务招待费审核要点</w:t>
      </w:r>
      <w:bookmarkEnd w:id="33"/>
    </w:p>
    <w:p w:rsidR="00683742" w:rsidRDefault="00F87A27" w:rsidP="007302F8">
      <w:pPr>
        <w:adjustRightInd w:val="0"/>
        <w:snapToGrid w:val="0"/>
        <w:spacing w:beforeLines="50" w:line="360" w:lineRule="auto"/>
        <w:ind w:firstLineChars="150" w:firstLine="360"/>
        <w:rPr>
          <w:rFonts w:ascii="黑体" w:eastAsia="黑体" w:hAnsi="黑体"/>
          <w:color w:val="000000" w:themeColor="text1"/>
          <w:sz w:val="24"/>
          <w:szCs w:val="24"/>
        </w:rPr>
      </w:pPr>
      <w:r>
        <w:rPr>
          <w:rFonts w:ascii="黑体" w:eastAsia="黑体" w:hAnsi="黑体" w:hint="eastAsia"/>
          <w:color w:val="000000" w:themeColor="text1"/>
          <w:sz w:val="24"/>
          <w:szCs w:val="24"/>
        </w:rPr>
        <w:t>（</w:t>
      </w:r>
      <w:r>
        <w:rPr>
          <w:rFonts w:ascii="黑体" w:eastAsia="黑体" w:hAnsi="黑体"/>
          <w:color w:val="000000" w:themeColor="text1"/>
          <w:sz w:val="24"/>
          <w:szCs w:val="24"/>
        </w:rPr>
        <w:t>1</w:t>
      </w:r>
      <w:r>
        <w:rPr>
          <w:rFonts w:ascii="黑体" w:eastAsia="黑体" w:hAnsi="黑体" w:hint="eastAsia"/>
          <w:color w:val="000000" w:themeColor="text1"/>
          <w:sz w:val="24"/>
          <w:szCs w:val="24"/>
        </w:rPr>
        <w:t>）审核被审核单位是否有将发生的业务招待费未准确归集，加计到差旅费、办公费等其他成本费用项目，是否进行了应纳税所得额调整。</w:t>
      </w:r>
    </w:p>
    <w:p w:rsidR="00683742" w:rsidRDefault="00F87A27" w:rsidP="007302F8">
      <w:pPr>
        <w:adjustRightInd w:val="0"/>
        <w:snapToGrid w:val="0"/>
        <w:spacing w:beforeLines="50" w:line="360" w:lineRule="auto"/>
        <w:ind w:firstLineChars="150" w:firstLine="360"/>
        <w:rPr>
          <w:rFonts w:ascii="黑体" w:eastAsia="黑体" w:hAnsi="黑体"/>
          <w:color w:val="000000" w:themeColor="text1"/>
          <w:sz w:val="24"/>
          <w:szCs w:val="24"/>
        </w:rPr>
      </w:pPr>
      <w:r>
        <w:rPr>
          <w:rFonts w:ascii="黑体" w:eastAsia="黑体" w:hAnsi="黑体" w:hint="eastAsia"/>
          <w:color w:val="000000" w:themeColor="text1"/>
          <w:sz w:val="24"/>
          <w:szCs w:val="24"/>
        </w:rPr>
        <w:t>（</w:t>
      </w:r>
      <w:r>
        <w:rPr>
          <w:rFonts w:ascii="黑体" w:eastAsia="黑体" w:hAnsi="黑体"/>
          <w:color w:val="000000" w:themeColor="text1"/>
          <w:sz w:val="24"/>
          <w:szCs w:val="24"/>
        </w:rPr>
        <w:t>2</w:t>
      </w:r>
      <w:r>
        <w:rPr>
          <w:rFonts w:ascii="黑体" w:eastAsia="黑体" w:hAnsi="黑体" w:hint="eastAsia"/>
          <w:color w:val="000000" w:themeColor="text1"/>
          <w:sz w:val="24"/>
          <w:szCs w:val="24"/>
        </w:rPr>
        <w:t>）审核被审核单位是否存在与生产经营活动无关的业务招待费，是否进行</w:t>
      </w:r>
      <w:r>
        <w:rPr>
          <w:rFonts w:ascii="黑体" w:eastAsia="黑体" w:hAnsi="黑体" w:hint="eastAsia"/>
          <w:color w:val="000000" w:themeColor="text1"/>
          <w:sz w:val="24"/>
          <w:szCs w:val="24"/>
        </w:rPr>
        <w:lastRenderedPageBreak/>
        <w:t>了应纳税所得额调整。</w:t>
      </w:r>
    </w:p>
    <w:p w:rsidR="00683742" w:rsidRDefault="00F87A27" w:rsidP="007302F8">
      <w:pPr>
        <w:adjustRightInd w:val="0"/>
        <w:snapToGrid w:val="0"/>
        <w:spacing w:beforeLines="50" w:line="360" w:lineRule="auto"/>
        <w:ind w:firstLineChars="150" w:firstLine="360"/>
        <w:rPr>
          <w:rFonts w:ascii="黑体" w:eastAsia="黑体" w:hAnsi="黑体"/>
          <w:color w:val="000000" w:themeColor="text1"/>
          <w:sz w:val="24"/>
          <w:szCs w:val="24"/>
        </w:rPr>
      </w:pPr>
      <w:r>
        <w:rPr>
          <w:rFonts w:ascii="黑体" w:eastAsia="黑体" w:hAnsi="黑体" w:hint="eastAsia"/>
          <w:color w:val="000000" w:themeColor="text1"/>
          <w:sz w:val="24"/>
          <w:szCs w:val="24"/>
        </w:rPr>
        <w:t>（3）审核被审核单位与生产经营活动有关的业务招待费支出，是否存在跨期情况，相关的票据是否符合相关规定，是否按发生额的</w:t>
      </w:r>
      <w:r>
        <w:rPr>
          <w:rFonts w:ascii="黑体" w:eastAsia="黑体" w:hAnsi="黑体"/>
          <w:color w:val="000000" w:themeColor="text1"/>
          <w:sz w:val="24"/>
          <w:szCs w:val="24"/>
        </w:rPr>
        <w:t>60%</w:t>
      </w:r>
      <w:r>
        <w:rPr>
          <w:rFonts w:ascii="黑体" w:eastAsia="黑体" w:hAnsi="黑体" w:hint="eastAsia"/>
          <w:color w:val="000000" w:themeColor="text1"/>
          <w:sz w:val="24"/>
          <w:szCs w:val="24"/>
        </w:rPr>
        <w:t>扣除，并且未超过当年销售（营业）收入的</w:t>
      </w:r>
      <w:r>
        <w:rPr>
          <w:rFonts w:ascii="黑体" w:eastAsia="黑体" w:hAnsi="黑体"/>
          <w:color w:val="000000" w:themeColor="text1"/>
          <w:sz w:val="24"/>
          <w:szCs w:val="24"/>
        </w:rPr>
        <w:t>5</w:t>
      </w:r>
      <w:r>
        <w:rPr>
          <w:rFonts w:ascii="黑体" w:eastAsia="黑体" w:hAnsi="黑体" w:hint="eastAsia"/>
          <w:color w:val="000000" w:themeColor="text1"/>
          <w:sz w:val="24"/>
          <w:szCs w:val="24"/>
        </w:rPr>
        <w:t>‰。</w:t>
      </w:r>
    </w:p>
    <w:p w:rsidR="00683742" w:rsidRDefault="00F87A27" w:rsidP="007302F8">
      <w:pPr>
        <w:adjustRightInd w:val="0"/>
        <w:snapToGrid w:val="0"/>
        <w:spacing w:beforeLines="50" w:line="360" w:lineRule="auto"/>
        <w:ind w:firstLineChars="200" w:firstLine="482"/>
        <w:outlineLvl w:val="3"/>
        <w:rPr>
          <w:rFonts w:ascii="黑体" w:eastAsia="黑体" w:hAnsi="黑体"/>
          <w:b/>
          <w:color w:val="000000" w:themeColor="text1"/>
          <w:sz w:val="24"/>
          <w:szCs w:val="24"/>
        </w:rPr>
      </w:pPr>
      <w:bookmarkStart w:id="34" w:name="_Toc16275"/>
      <w:r>
        <w:rPr>
          <w:rFonts w:ascii="黑体" w:eastAsia="黑体" w:hAnsi="黑体"/>
          <w:b/>
          <w:color w:val="000000" w:themeColor="text1"/>
          <w:sz w:val="24"/>
          <w:szCs w:val="24"/>
        </w:rPr>
        <w:t>2</w:t>
      </w:r>
      <w:r>
        <w:rPr>
          <w:rFonts w:ascii="黑体" w:eastAsia="黑体" w:hAnsi="黑体" w:hint="eastAsia"/>
          <w:b/>
          <w:color w:val="000000" w:themeColor="text1"/>
          <w:sz w:val="24"/>
          <w:szCs w:val="24"/>
        </w:rPr>
        <w:t>、广告费和业务宣传费审核要点</w:t>
      </w:r>
      <w:bookmarkEnd w:id="34"/>
    </w:p>
    <w:p w:rsidR="00683742" w:rsidRDefault="00F87A27" w:rsidP="007302F8">
      <w:pPr>
        <w:adjustRightInd w:val="0"/>
        <w:snapToGrid w:val="0"/>
        <w:spacing w:beforeLines="50" w:line="360" w:lineRule="auto"/>
        <w:ind w:firstLineChars="150" w:firstLine="360"/>
        <w:rPr>
          <w:rFonts w:ascii="黑体" w:eastAsia="黑体" w:hAnsi="黑体"/>
          <w:color w:val="000000" w:themeColor="text1"/>
          <w:sz w:val="24"/>
          <w:szCs w:val="24"/>
        </w:rPr>
      </w:pPr>
      <w:r>
        <w:rPr>
          <w:rFonts w:ascii="黑体" w:eastAsia="黑体" w:hAnsi="黑体" w:hint="eastAsia"/>
          <w:color w:val="000000" w:themeColor="text1"/>
          <w:sz w:val="24"/>
          <w:szCs w:val="24"/>
        </w:rPr>
        <w:t>（</w:t>
      </w:r>
      <w:r>
        <w:rPr>
          <w:rFonts w:ascii="黑体" w:eastAsia="黑体" w:hAnsi="黑体"/>
          <w:color w:val="000000" w:themeColor="text1"/>
          <w:sz w:val="24"/>
          <w:szCs w:val="24"/>
        </w:rPr>
        <w:t>1</w:t>
      </w:r>
      <w:r>
        <w:rPr>
          <w:rFonts w:ascii="黑体" w:eastAsia="黑体" w:hAnsi="黑体" w:hint="eastAsia"/>
          <w:color w:val="000000" w:themeColor="text1"/>
          <w:sz w:val="24"/>
          <w:szCs w:val="24"/>
        </w:rPr>
        <w:t>）审核被审核单位发生的广告费和业务宣传费中，是否存在具有不得税前扣除的赞助费支出。</w:t>
      </w:r>
    </w:p>
    <w:p w:rsidR="00683742" w:rsidRDefault="00F87A27" w:rsidP="007302F8">
      <w:pPr>
        <w:adjustRightInd w:val="0"/>
        <w:snapToGrid w:val="0"/>
        <w:spacing w:beforeLines="50" w:line="360" w:lineRule="auto"/>
        <w:ind w:firstLineChars="150" w:firstLine="360"/>
        <w:rPr>
          <w:rFonts w:ascii="黑体" w:eastAsia="黑体" w:hAnsi="黑体"/>
          <w:color w:val="000000" w:themeColor="text1"/>
          <w:sz w:val="24"/>
          <w:szCs w:val="24"/>
        </w:rPr>
      </w:pPr>
      <w:r>
        <w:rPr>
          <w:rFonts w:ascii="黑体" w:eastAsia="黑体" w:hAnsi="黑体" w:hint="eastAsia"/>
          <w:color w:val="000000" w:themeColor="text1"/>
          <w:sz w:val="24"/>
          <w:szCs w:val="24"/>
        </w:rPr>
        <w:t>（</w:t>
      </w:r>
      <w:r>
        <w:rPr>
          <w:rFonts w:ascii="黑体" w:eastAsia="黑体" w:hAnsi="黑体"/>
          <w:color w:val="000000" w:themeColor="text1"/>
          <w:sz w:val="24"/>
          <w:szCs w:val="24"/>
        </w:rPr>
        <w:t>2</w:t>
      </w:r>
      <w:r>
        <w:rPr>
          <w:rFonts w:ascii="黑体" w:eastAsia="黑体" w:hAnsi="黑体" w:hint="eastAsia"/>
          <w:color w:val="000000" w:themeColor="text1"/>
          <w:sz w:val="24"/>
          <w:szCs w:val="24"/>
        </w:rPr>
        <w:t>）审核发生的广告费和业务宣传费后，按照新税法规定的比例核算扣除。</w:t>
      </w:r>
    </w:p>
    <w:p w:rsidR="00683742" w:rsidRDefault="00F87A27" w:rsidP="007302F8">
      <w:pPr>
        <w:adjustRightInd w:val="0"/>
        <w:snapToGrid w:val="0"/>
        <w:spacing w:beforeLines="50" w:line="360" w:lineRule="auto"/>
        <w:ind w:firstLineChars="150" w:firstLine="360"/>
        <w:rPr>
          <w:rFonts w:ascii="黑体" w:eastAsia="黑体" w:hAnsi="黑体"/>
          <w:color w:val="000000" w:themeColor="text1"/>
          <w:sz w:val="24"/>
          <w:szCs w:val="24"/>
        </w:rPr>
      </w:pPr>
      <w:r>
        <w:rPr>
          <w:rFonts w:ascii="黑体" w:eastAsia="黑体" w:hAnsi="黑体" w:hint="eastAsia"/>
          <w:color w:val="000000" w:themeColor="text1"/>
          <w:sz w:val="24"/>
          <w:szCs w:val="24"/>
        </w:rPr>
        <w:t>（</w:t>
      </w:r>
      <w:r>
        <w:rPr>
          <w:rFonts w:ascii="黑体" w:eastAsia="黑体" w:hAnsi="黑体"/>
          <w:color w:val="000000" w:themeColor="text1"/>
          <w:sz w:val="24"/>
          <w:szCs w:val="24"/>
        </w:rPr>
        <w:t>3</w:t>
      </w:r>
      <w:r>
        <w:rPr>
          <w:rFonts w:ascii="黑体" w:eastAsia="黑体" w:hAnsi="黑体" w:hint="eastAsia"/>
          <w:color w:val="000000" w:themeColor="text1"/>
          <w:sz w:val="24"/>
          <w:szCs w:val="24"/>
        </w:rPr>
        <w:t>）审核被审核单位是否存在将发生的广告费和业务宣传费未准确归集，加计其他成本费用项目，是否进行应纳税所得额调整。</w:t>
      </w:r>
    </w:p>
    <w:p w:rsidR="00683742" w:rsidRDefault="00F87A27" w:rsidP="007302F8">
      <w:pPr>
        <w:adjustRightInd w:val="0"/>
        <w:snapToGrid w:val="0"/>
        <w:spacing w:beforeLines="50" w:line="360" w:lineRule="auto"/>
        <w:ind w:firstLineChars="150" w:firstLine="360"/>
        <w:rPr>
          <w:rFonts w:ascii="黑体" w:eastAsia="黑体" w:hAnsi="黑体"/>
          <w:color w:val="000000" w:themeColor="text1"/>
          <w:sz w:val="24"/>
          <w:szCs w:val="24"/>
        </w:rPr>
      </w:pPr>
      <w:r>
        <w:rPr>
          <w:rFonts w:ascii="黑体" w:eastAsia="黑体" w:hAnsi="黑体" w:hint="eastAsia"/>
          <w:color w:val="000000" w:themeColor="text1"/>
          <w:sz w:val="24"/>
          <w:szCs w:val="24"/>
        </w:rPr>
        <w:t>（4）抽查广告业务宣传费较大的项目，追查支出原始凭证及货币资金账簿和会计记录，分析支出的项目内容、用途、数量和金额，审核其是否与企业收入有关。</w:t>
      </w:r>
    </w:p>
    <w:p w:rsidR="00683742" w:rsidRDefault="00F87A27" w:rsidP="007302F8">
      <w:pPr>
        <w:adjustRightInd w:val="0"/>
        <w:snapToGrid w:val="0"/>
        <w:spacing w:beforeLines="50" w:line="360" w:lineRule="auto"/>
        <w:ind w:firstLineChars="150" w:firstLine="360"/>
        <w:rPr>
          <w:rFonts w:ascii="黑体" w:eastAsia="黑体" w:hAnsi="黑体"/>
          <w:color w:val="000000" w:themeColor="text1"/>
          <w:sz w:val="24"/>
          <w:szCs w:val="24"/>
        </w:rPr>
      </w:pPr>
      <w:r>
        <w:rPr>
          <w:rFonts w:ascii="黑体" w:eastAsia="黑体" w:hAnsi="黑体" w:hint="eastAsia"/>
          <w:color w:val="000000" w:themeColor="text1"/>
          <w:sz w:val="24"/>
          <w:szCs w:val="24"/>
        </w:rPr>
        <w:t>（5）核实广告费的支出是否同时具备以下三个条件</w:t>
      </w:r>
    </w:p>
    <w:p w:rsidR="00683742" w:rsidRDefault="00F87A27" w:rsidP="007302F8">
      <w:pPr>
        <w:adjustRightInd w:val="0"/>
        <w:snapToGrid w:val="0"/>
        <w:spacing w:beforeLines="50" w:line="360" w:lineRule="auto"/>
        <w:ind w:firstLineChars="200" w:firstLine="480"/>
        <w:rPr>
          <w:rFonts w:ascii="黑体" w:eastAsia="黑体" w:hAnsi="黑体"/>
          <w:color w:val="000000" w:themeColor="text1"/>
          <w:sz w:val="24"/>
          <w:szCs w:val="24"/>
        </w:rPr>
      </w:pPr>
      <w:r>
        <w:rPr>
          <w:rFonts w:ascii="黑体" w:eastAsia="黑体" w:hAnsi="黑体"/>
          <w:color w:val="000000" w:themeColor="text1"/>
          <w:sz w:val="24"/>
          <w:szCs w:val="24"/>
        </w:rPr>
        <w:t>A</w:t>
      </w:r>
      <w:r>
        <w:rPr>
          <w:rFonts w:ascii="黑体" w:eastAsia="黑体" w:hAnsi="黑体" w:hint="eastAsia"/>
          <w:color w:val="000000" w:themeColor="text1"/>
          <w:sz w:val="24"/>
          <w:szCs w:val="24"/>
        </w:rPr>
        <w:t>.广告是通过工商部门批准的专门机构制作的</w:t>
      </w:r>
    </w:p>
    <w:p w:rsidR="00683742" w:rsidRDefault="00F87A27" w:rsidP="007302F8">
      <w:pPr>
        <w:adjustRightInd w:val="0"/>
        <w:snapToGrid w:val="0"/>
        <w:spacing w:beforeLines="50" w:line="360" w:lineRule="auto"/>
        <w:ind w:firstLineChars="200" w:firstLine="480"/>
        <w:rPr>
          <w:rFonts w:ascii="黑体" w:eastAsia="黑体" w:hAnsi="黑体"/>
          <w:color w:val="000000" w:themeColor="text1"/>
          <w:sz w:val="24"/>
          <w:szCs w:val="24"/>
        </w:rPr>
      </w:pPr>
      <w:r>
        <w:rPr>
          <w:rFonts w:ascii="黑体" w:eastAsia="黑体" w:hAnsi="黑体"/>
          <w:color w:val="000000" w:themeColor="text1"/>
          <w:sz w:val="24"/>
          <w:szCs w:val="24"/>
        </w:rPr>
        <w:t>B</w:t>
      </w:r>
      <w:r>
        <w:rPr>
          <w:rFonts w:ascii="黑体" w:eastAsia="黑体" w:hAnsi="黑体" w:hint="eastAsia"/>
          <w:color w:val="000000" w:themeColor="text1"/>
          <w:sz w:val="24"/>
          <w:szCs w:val="24"/>
        </w:rPr>
        <w:t>.已实际支付费用，并取得相应发票</w:t>
      </w:r>
    </w:p>
    <w:p w:rsidR="00683742" w:rsidRDefault="00F87A27" w:rsidP="007302F8">
      <w:pPr>
        <w:adjustRightInd w:val="0"/>
        <w:snapToGrid w:val="0"/>
        <w:spacing w:beforeLines="50" w:line="360" w:lineRule="auto"/>
        <w:ind w:firstLineChars="200" w:firstLine="480"/>
        <w:rPr>
          <w:rFonts w:ascii="黑体" w:eastAsia="黑体" w:hAnsi="黑体"/>
          <w:color w:val="000000" w:themeColor="text1"/>
          <w:sz w:val="24"/>
          <w:szCs w:val="24"/>
        </w:rPr>
      </w:pPr>
      <w:r>
        <w:rPr>
          <w:rFonts w:ascii="黑体" w:eastAsia="黑体" w:hAnsi="黑体"/>
          <w:color w:val="000000" w:themeColor="text1"/>
          <w:sz w:val="24"/>
          <w:szCs w:val="24"/>
        </w:rPr>
        <w:t>C</w:t>
      </w:r>
      <w:r>
        <w:rPr>
          <w:rFonts w:ascii="黑体" w:eastAsia="黑体" w:hAnsi="黑体" w:hint="eastAsia"/>
          <w:color w:val="000000" w:themeColor="text1"/>
          <w:sz w:val="24"/>
          <w:szCs w:val="24"/>
        </w:rPr>
        <w:t>.通过一定的媒体传播</w:t>
      </w:r>
    </w:p>
    <w:p w:rsidR="00683742" w:rsidRDefault="00F87A27" w:rsidP="007302F8">
      <w:pPr>
        <w:adjustRightInd w:val="0"/>
        <w:snapToGrid w:val="0"/>
        <w:spacing w:beforeLines="50" w:line="360" w:lineRule="auto"/>
        <w:ind w:firstLineChars="150" w:firstLine="360"/>
        <w:rPr>
          <w:rFonts w:ascii="黑体" w:eastAsia="黑体" w:hAnsi="黑体"/>
          <w:color w:val="000000" w:themeColor="text1"/>
          <w:sz w:val="24"/>
          <w:szCs w:val="24"/>
        </w:rPr>
      </w:pPr>
      <w:r>
        <w:rPr>
          <w:rFonts w:ascii="黑体" w:eastAsia="黑体" w:hAnsi="黑体" w:hint="eastAsia"/>
          <w:color w:val="000000" w:themeColor="text1"/>
          <w:sz w:val="24"/>
          <w:szCs w:val="24"/>
        </w:rPr>
        <w:t>（6）审核发生的不符合税法规定条件的广告费和业务宣传费，是否进行了应纳税所得额调整。</w:t>
      </w:r>
    </w:p>
    <w:p w:rsidR="00683742" w:rsidRDefault="00F87A27" w:rsidP="007302F8">
      <w:pPr>
        <w:adjustRightInd w:val="0"/>
        <w:snapToGrid w:val="0"/>
        <w:spacing w:beforeLines="50" w:line="384" w:lineRule="auto"/>
        <w:ind w:firstLineChars="150" w:firstLine="360"/>
        <w:rPr>
          <w:rFonts w:ascii="黑体" w:eastAsia="黑体" w:hAnsi="黑体"/>
          <w:color w:val="000000" w:themeColor="text1"/>
          <w:sz w:val="24"/>
          <w:szCs w:val="24"/>
        </w:rPr>
      </w:pPr>
      <w:r>
        <w:rPr>
          <w:rFonts w:ascii="黑体" w:eastAsia="黑体" w:hAnsi="黑体" w:hint="eastAsia"/>
          <w:color w:val="000000" w:themeColor="text1"/>
          <w:sz w:val="24"/>
          <w:szCs w:val="24"/>
        </w:rPr>
        <w:t>（7）发生符合条件的广告费和业务宣传费支出，除国务院财政、税务主管部门另有规定外，超过当年销售（营业）收入</w:t>
      </w:r>
      <w:r>
        <w:rPr>
          <w:rFonts w:ascii="黑体" w:eastAsia="黑体" w:hAnsi="黑体"/>
          <w:color w:val="000000" w:themeColor="text1"/>
          <w:sz w:val="24"/>
          <w:szCs w:val="24"/>
        </w:rPr>
        <w:t>15%</w:t>
      </w:r>
      <w:r>
        <w:rPr>
          <w:rFonts w:ascii="黑体" w:eastAsia="黑体" w:hAnsi="黑体" w:hint="eastAsia"/>
          <w:color w:val="000000" w:themeColor="text1"/>
          <w:sz w:val="24"/>
          <w:szCs w:val="24"/>
        </w:rPr>
        <w:t>的部分，是否进行了应纳税所得额调整。</w:t>
      </w:r>
    </w:p>
    <w:p w:rsidR="00683742" w:rsidRDefault="00F87A27" w:rsidP="007302F8">
      <w:pPr>
        <w:adjustRightInd w:val="0"/>
        <w:snapToGrid w:val="0"/>
        <w:spacing w:beforeLines="50" w:line="360" w:lineRule="auto"/>
        <w:ind w:firstLineChars="150" w:firstLine="360"/>
        <w:rPr>
          <w:rFonts w:ascii="黑体" w:eastAsia="黑体" w:hAnsi="黑体"/>
          <w:color w:val="000000" w:themeColor="text1"/>
          <w:sz w:val="24"/>
          <w:szCs w:val="24"/>
        </w:rPr>
      </w:pPr>
      <w:r>
        <w:rPr>
          <w:rFonts w:ascii="黑体" w:eastAsia="黑体" w:hAnsi="黑体" w:hint="eastAsia"/>
          <w:color w:val="000000" w:themeColor="text1"/>
          <w:sz w:val="24"/>
          <w:szCs w:val="24"/>
        </w:rPr>
        <w:t>（8）广告支出是否是粮食白酒类广告？</w:t>
      </w:r>
    </w:p>
    <w:p w:rsidR="00683742" w:rsidRDefault="00F87A27" w:rsidP="007302F8">
      <w:pPr>
        <w:adjustRightInd w:val="0"/>
        <w:snapToGrid w:val="0"/>
        <w:spacing w:beforeLines="50" w:line="360" w:lineRule="auto"/>
        <w:ind w:firstLineChars="200" w:firstLine="482"/>
        <w:outlineLvl w:val="3"/>
        <w:rPr>
          <w:rFonts w:ascii="黑体" w:eastAsia="黑体" w:hAnsi="黑体" w:cs="Arial"/>
          <w:b/>
          <w:color w:val="000000" w:themeColor="text1"/>
          <w:sz w:val="24"/>
          <w:szCs w:val="24"/>
        </w:rPr>
      </w:pPr>
      <w:bookmarkStart w:id="35" w:name="_Toc13406"/>
      <w:r>
        <w:rPr>
          <w:rFonts w:ascii="黑体" w:eastAsia="黑体" w:hAnsi="黑体"/>
          <w:b/>
          <w:color w:val="000000" w:themeColor="text1"/>
          <w:sz w:val="24"/>
          <w:szCs w:val="24"/>
        </w:rPr>
        <w:t>3</w:t>
      </w:r>
      <w:r>
        <w:rPr>
          <w:rFonts w:ascii="黑体" w:eastAsia="黑体" w:hAnsi="黑体" w:hint="eastAsia"/>
          <w:b/>
          <w:color w:val="000000" w:themeColor="text1"/>
          <w:sz w:val="24"/>
          <w:szCs w:val="24"/>
        </w:rPr>
        <w:t>、租赁支出审核要点</w:t>
      </w:r>
      <w:bookmarkEnd w:id="35"/>
    </w:p>
    <w:p w:rsidR="00683742" w:rsidRDefault="00F87A27" w:rsidP="007302F8">
      <w:pPr>
        <w:adjustRightInd w:val="0"/>
        <w:snapToGrid w:val="0"/>
        <w:spacing w:beforeLines="50" w:line="384" w:lineRule="auto"/>
        <w:ind w:firstLineChars="150" w:firstLine="360"/>
        <w:rPr>
          <w:rFonts w:ascii="黑体" w:eastAsia="黑体" w:hAnsi="黑体" w:cs="Arial"/>
          <w:color w:val="000000" w:themeColor="text1"/>
          <w:sz w:val="24"/>
          <w:szCs w:val="24"/>
        </w:rPr>
      </w:pPr>
      <w:r>
        <w:rPr>
          <w:rFonts w:ascii="黑体" w:eastAsia="黑体" w:hAnsi="黑体" w:cs="Arial" w:hint="eastAsia"/>
          <w:color w:val="000000" w:themeColor="text1"/>
          <w:sz w:val="24"/>
          <w:szCs w:val="24"/>
        </w:rPr>
        <w:t>（</w:t>
      </w:r>
      <w:r>
        <w:rPr>
          <w:rFonts w:ascii="黑体" w:eastAsia="黑体" w:hAnsi="黑体" w:cs="Arial"/>
          <w:color w:val="000000" w:themeColor="text1"/>
          <w:sz w:val="24"/>
          <w:szCs w:val="24"/>
        </w:rPr>
        <w:t>1</w:t>
      </w:r>
      <w:r>
        <w:rPr>
          <w:rFonts w:ascii="黑体" w:eastAsia="黑体" w:hAnsi="黑体" w:cs="Arial" w:hint="eastAsia"/>
          <w:color w:val="000000" w:themeColor="text1"/>
          <w:sz w:val="24"/>
          <w:szCs w:val="24"/>
        </w:rPr>
        <w:t>）查看相关资产的租赁合同，核实租赁资产的存在、所有权和用途，确认</w:t>
      </w:r>
      <w:r>
        <w:rPr>
          <w:rFonts w:ascii="黑体" w:eastAsia="黑体" w:hAnsi="黑体" w:cs="Arial" w:hint="eastAsia"/>
          <w:color w:val="000000" w:themeColor="text1"/>
          <w:sz w:val="24"/>
          <w:szCs w:val="24"/>
        </w:rPr>
        <w:lastRenderedPageBreak/>
        <w:t>租赁是与企业经营相关的租赁资产。</w:t>
      </w:r>
    </w:p>
    <w:p w:rsidR="00683742" w:rsidRDefault="00F87A27" w:rsidP="007302F8">
      <w:pPr>
        <w:adjustRightInd w:val="0"/>
        <w:snapToGrid w:val="0"/>
        <w:spacing w:beforeLines="50" w:line="384" w:lineRule="auto"/>
        <w:ind w:firstLineChars="150" w:firstLine="360"/>
        <w:rPr>
          <w:rFonts w:ascii="黑体" w:eastAsia="黑体" w:hAnsi="黑体" w:cs="Arial"/>
          <w:color w:val="000000" w:themeColor="text1"/>
          <w:sz w:val="24"/>
          <w:szCs w:val="24"/>
        </w:rPr>
      </w:pPr>
      <w:r>
        <w:rPr>
          <w:rFonts w:ascii="黑体" w:eastAsia="黑体" w:hAnsi="黑体" w:cs="Arial" w:hint="eastAsia"/>
          <w:color w:val="000000" w:themeColor="text1"/>
          <w:sz w:val="24"/>
          <w:szCs w:val="24"/>
        </w:rPr>
        <w:t>（</w:t>
      </w:r>
      <w:r>
        <w:rPr>
          <w:rFonts w:ascii="黑体" w:eastAsia="黑体" w:hAnsi="黑体" w:cs="Arial"/>
          <w:color w:val="000000" w:themeColor="text1"/>
          <w:sz w:val="24"/>
          <w:szCs w:val="24"/>
        </w:rPr>
        <w:t>2</w:t>
      </w:r>
      <w:r>
        <w:rPr>
          <w:rFonts w:ascii="黑体" w:eastAsia="黑体" w:hAnsi="黑体" w:cs="Arial" w:hint="eastAsia"/>
          <w:color w:val="000000" w:themeColor="text1"/>
          <w:sz w:val="24"/>
          <w:szCs w:val="24"/>
        </w:rPr>
        <w:t>）抽查重大租赁项目，追查合同及其他原始凭证，计提或付款记录，确认租金支出的真实性，计价的准确性，以及在成本费用是否恰当。</w:t>
      </w:r>
    </w:p>
    <w:p w:rsidR="00683742" w:rsidRDefault="00F87A27" w:rsidP="007302F8">
      <w:pPr>
        <w:adjustRightInd w:val="0"/>
        <w:snapToGrid w:val="0"/>
        <w:spacing w:beforeLines="50" w:line="384" w:lineRule="auto"/>
        <w:ind w:firstLineChars="150" w:firstLine="360"/>
        <w:rPr>
          <w:rFonts w:ascii="黑体" w:eastAsia="黑体" w:hAnsi="黑体" w:cs="Arial"/>
          <w:color w:val="000000" w:themeColor="text1"/>
          <w:sz w:val="24"/>
          <w:szCs w:val="24"/>
        </w:rPr>
      </w:pPr>
      <w:r>
        <w:rPr>
          <w:rFonts w:ascii="黑体" w:eastAsia="黑体" w:hAnsi="黑体" w:cs="Arial" w:hint="eastAsia"/>
          <w:color w:val="000000" w:themeColor="text1"/>
          <w:sz w:val="24"/>
          <w:szCs w:val="24"/>
        </w:rPr>
        <w:t>（</w:t>
      </w:r>
      <w:r>
        <w:rPr>
          <w:rFonts w:ascii="黑体" w:eastAsia="黑体" w:hAnsi="黑体" w:cs="Arial"/>
          <w:color w:val="000000" w:themeColor="text1"/>
          <w:sz w:val="24"/>
          <w:szCs w:val="24"/>
        </w:rPr>
        <w:t>3</w:t>
      </w:r>
      <w:r>
        <w:rPr>
          <w:rFonts w:ascii="黑体" w:eastAsia="黑体" w:hAnsi="黑体" w:cs="Arial" w:hint="eastAsia"/>
          <w:color w:val="000000" w:themeColor="text1"/>
          <w:sz w:val="24"/>
          <w:szCs w:val="24"/>
        </w:rPr>
        <w:t>）企业是否按规定正确区分经营租赁和融资租赁。</w:t>
      </w:r>
    </w:p>
    <w:p w:rsidR="00683742" w:rsidRDefault="00F87A27" w:rsidP="007302F8">
      <w:pPr>
        <w:adjustRightInd w:val="0"/>
        <w:snapToGrid w:val="0"/>
        <w:spacing w:beforeLines="50" w:line="384" w:lineRule="auto"/>
        <w:ind w:firstLineChars="150" w:firstLine="360"/>
        <w:rPr>
          <w:rFonts w:ascii="黑体" w:eastAsia="黑体" w:hAnsi="黑体" w:cs="Arial"/>
          <w:color w:val="000000" w:themeColor="text1"/>
          <w:sz w:val="24"/>
          <w:szCs w:val="24"/>
        </w:rPr>
      </w:pPr>
      <w:r>
        <w:rPr>
          <w:rFonts w:ascii="黑体" w:eastAsia="黑体" w:hAnsi="黑体" w:cs="Arial" w:hint="eastAsia"/>
          <w:color w:val="000000" w:themeColor="text1"/>
          <w:sz w:val="24"/>
          <w:szCs w:val="24"/>
        </w:rPr>
        <w:t>（</w:t>
      </w:r>
      <w:r>
        <w:rPr>
          <w:rFonts w:ascii="黑体" w:eastAsia="黑体" w:hAnsi="黑体" w:cs="Arial"/>
          <w:color w:val="000000" w:themeColor="text1"/>
          <w:sz w:val="24"/>
          <w:szCs w:val="24"/>
        </w:rPr>
        <w:t>4</w:t>
      </w:r>
      <w:r>
        <w:rPr>
          <w:rFonts w:ascii="黑体" w:eastAsia="黑体" w:hAnsi="黑体" w:cs="Arial" w:hint="eastAsia"/>
          <w:color w:val="000000" w:themeColor="text1"/>
          <w:sz w:val="24"/>
          <w:szCs w:val="24"/>
        </w:rPr>
        <w:t>）以经营租赁方式租入固定资产发生的租赁费支出，是否按照租赁期限均匀扣除。</w:t>
      </w:r>
    </w:p>
    <w:p w:rsidR="00683742" w:rsidRDefault="00F87A27" w:rsidP="007302F8">
      <w:pPr>
        <w:adjustRightInd w:val="0"/>
        <w:snapToGrid w:val="0"/>
        <w:spacing w:beforeLines="50" w:line="384" w:lineRule="auto"/>
        <w:ind w:firstLineChars="150" w:firstLine="360"/>
        <w:rPr>
          <w:rFonts w:ascii="黑体" w:eastAsia="黑体" w:hAnsi="黑体" w:cs="Arial"/>
          <w:color w:val="000000" w:themeColor="text1"/>
          <w:sz w:val="24"/>
          <w:szCs w:val="24"/>
        </w:rPr>
      </w:pPr>
      <w:r>
        <w:rPr>
          <w:rFonts w:ascii="黑体" w:eastAsia="黑体" w:hAnsi="黑体" w:cs="Arial" w:hint="eastAsia"/>
          <w:color w:val="000000" w:themeColor="text1"/>
          <w:sz w:val="24"/>
          <w:szCs w:val="24"/>
        </w:rPr>
        <w:t>（</w:t>
      </w:r>
      <w:r>
        <w:rPr>
          <w:rFonts w:ascii="黑体" w:eastAsia="黑体" w:hAnsi="黑体" w:cs="Arial"/>
          <w:color w:val="000000" w:themeColor="text1"/>
          <w:sz w:val="24"/>
          <w:szCs w:val="24"/>
        </w:rPr>
        <w:t>5</w:t>
      </w:r>
      <w:r>
        <w:rPr>
          <w:rFonts w:ascii="黑体" w:eastAsia="黑体" w:hAnsi="黑体" w:cs="Arial" w:hint="eastAsia"/>
          <w:color w:val="000000" w:themeColor="text1"/>
          <w:sz w:val="24"/>
          <w:szCs w:val="24"/>
        </w:rPr>
        <w:t>）以融资租赁方式租入固定资产发生的租赁费支出，是否按照构成融资租入固定资产价值的部分提取折旧费用分期扣除的。</w:t>
      </w:r>
    </w:p>
    <w:p w:rsidR="00683742" w:rsidRDefault="00F87A27" w:rsidP="007302F8">
      <w:pPr>
        <w:adjustRightInd w:val="0"/>
        <w:snapToGrid w:val="0"/>
        <w:spacing w:beforeLines="50" w:line="384" w:lineRule="auto"/>
        <w:ind w:firstLineChars="200" w:firstLine="482"/>
        <w:outlineLvl w:val="3"/>
        <w:rPr>
          <w:rFonts w:ascii="黑体" w:eastAsia="黑体" w:hAnsi="黑体" w:cs="Arial"/>
          <w:b/>
          <w:color w:val="000000" w:themeColor="text1"/>
          <w:sz w:val="24"/>
          <w:szCs w:val="24"/>
        </w:rPr>
      </w:pPr>
      <w:bookmarkStart w:id="36" w:name="_Toc15479"/>
      <w:r>
        <w:rPr>
          <w:rFonts w:ascii="黑体" w:eastAsia="黑体" w:hAnsi="黑体"/>
          <w:b/>
          <w:color w:val="000000" w:themeColor="text1"/>
          <w:sz w:val="24"/>
          <w:szCs w:val="24"/>
        </w:rPr>
        <w:t>4</w:t>
      </w:r>
      <w:r>
        <w:rPr>
          <w:rFonts w:ascii="黑体" w:eastAsia="黑体" w:hAnsi="黑体" w:hint="eastAsia"/>
          <w:b/>
          <w:color w:val="000000" w:themeColor="text1"/>
          <w:sz w:val="24"/>
          <w:szCs w:val="24"/>
        </w:rPr>
        <w:t>、利息支出审核要点</w:t>
      </w:r>
      <w:bookmarkEnd w:id="36"/>
    </w:p>
    <w:p w:rsidR="00683742" w:rsidRDefault="00F87A27" w:rsidP="007302F8">
      <w:pPr>
        <w:adjustRightInd w:val="0"/>
        <w:snapToGrid w:val="0"/>
        <w:spacing w:beforeLines="50" w:line="384" w:lineRule="auto"/>
        <w:ind w:firstLineChars="150" w:firstLine="360"/>
        <w:rPr>
          <w:rFonts w:ascii="黑体" w:eastAsia="黑体" w:hAnsi="黑体" w:cs="Arial"/>
          <w:color w:val="000000" w:themeColor="text1"/>
          <w:sz w:val="24"/>
          <w:szCs w:val="24"/>
        </w:rPr>
      </w:pPr>
      <w:r>
        <w:rPr>
          <w:rFonts w:ascii="黑体" w:eastAsia="黑体" w:hAnsi="黑体" w:cs="Arial" w:hint="eastAsia"/>
          <w:color w:val="000000" w:themeColor="text1"/>
          <w:sz w:val="24"/>
          <w:szCs w:val="24"/>
        </w:rPr>
        <w:t>（</w:t>
      </w:r>
      <w:r>
        <w:rPr>
          <w:rFonts w:ascii="黑体" w:eastAsia="黑体" w:hAnsi="黑体" w:cs="Arial"/>
          <w:color w:val="000000" w:themeColor="text1"/>
          <w:sz w:val="24"/>
          <w:szCs w:val="24"/>
        </w:rPr>
        <w:t>1</w:t>
      </w:r>
      <w:r>
        <w:rPr>
          <w:rFonts w:ascii="黑体" w:eastAsia="黑体" w:hAnsi="黑体" w:cs="Arial" w:hint="eastAsia"/>
          <w:color w:val="000000" w:themeColor="text1"/>
          <w:sz w:val="24"/>
          <w:szCs w:val="24"/>
        </w:rPr>
        <w:t>）审核付息之债务项目的真实性，确认利息项目是否可以税前扣除，应特别关注列支利息的债务是否与被审核单位正常经营活动有关，通过借款合同协议，确认是否属于股东个人借款。</w:t>
      </w:r>
    </w:p>
    <w:p w:rsidR="00683742" w:rsidRDefault="00F87A27" w:rsidP="007302F8">
      <w:pPr>
        <w:adjustRightInd w:val="0"/>
        <w:snapToGrid w:val="0"/>
        <w:spacing w:beforeLines="50" w:line="360" w:lineRule="auto"/>
        <w:ind w:firstLineChars="150" w:firstLine="360"/>
        <w:rPr>
          <w:rFonts w:ascii="黑体" w:eastAsia="黑体" w:hAnsi="黑体" w:cs="Arial"/>
          <w:color w:val="000000" w:themeColor="text1"/>
          <w:sz w:val="24"/>
          <w:szCs w:val="24"/>
        </w:rPr>
      </w:pPr>
      <w:r>
        <w:rPr>
          <w:rFonts w:ascii="黑体" w:eastAsia="黑体" w:hAnsi="黑体" w:hint="eastAsia"/>
          <w:color w:val="000000" w:themeColor="text1"/>
          <w:sz w:val="24"/>
          <w:szCs w:val="24"/>
        </w:rPr>
        <w:t>（</w:t>
      </w:r>
      <w:r>
        <w:rPr>
          <w:rFonts w:ascii="黑体" w:eastAsia="黑体" w:hAnsi="黑体"/>
          <w:color w:val="000000" w:themeColor="text1"/>
          <w:sz w:val="24"/>
          <w:szCs w:val="24"/>
        </w:rPr>
        <w:t>2</w:t>
      </w:r>
      <w:r>
        <w:rPr>
          <w:rFonts w:ascii="黑体" w:eastAsia="黑体" w:hAnsi="黑体" w:hint="eastAsia"/>
          <w:color w:val="000000" w:themeColor="text1"/>
          <w:sz w:val="24"/>
          <w:szCs w:val="24"/>
        </w:rPr>
        <w:t>）对重大的利息支出项目，抽查会计凭证，检查利息计算表，确认利息支出的真实性、准确性。</w:t>
      </w:r>
      <w:r>
        <w:rPr>
          <w:rFonts w:ascii="黑体" w:eastAsia="黑体" w:hAnsi="黑体" w:cs="Arial" w:hint="eastAsia"/>
          <w:color w:val="000000" w:themeColor="text1"/>
          <w:sz w:val="24"/>
          <w:szCs w:val="24"/>
        </w:rPr>
        <w:t>利息支出的扣除是否符合税法规定，对于提前支取的定期存款，</w:t>
      </w:r>
      <w:r>
        <w:rPr>
          <w:rFonts w:ascii="黑体" w:eastAsia="黑体" w:hAnsi="黑体" w:hint="eastAsia"/>
          <w:color w:val="000000" w:themeColor="text1"/>
          <w:sz w:val="24"/>
          <w:szCs w:val="24"/>
        </w:rPr>
        <w:t>计</w:t>
      </w:r>
      <w:r>
        <w:rPr>
          <w:rFonts w:ascii="黑体" w:eastAsia="黑体" w:hAnsi="黑体" w:cs="Arial" w:hint="eastAsia"/>
          <w:color w:val="000000" w:themeColor="text1"/>
          <w:sz w:val="24"/>
          <w:szCs w:val="24"/>
        </w:rPr>
        <w:t>提的应付利息是否进行了调整。</w:t>
      </w:r>
    </w:p>
    <w:p w:rsidR="00683742" w:rsidRDefault="00F87A27" w:rsidP="007302F8">
      <w:pPr>
        <w:adjustRightInd w:val="0"/>
        <w:snapToGrid w:val="0"/>
        <w:spacing w:beforeLines="50" w:line="360" w:lineRule="auto"/>
        <w:ind w:firstLineChars="150" w:firstLine="360"/>
        <w:rPr>
          <w:rFonts w:ascii="黑体" w:eastAsia="黑体" w:hAnsi="黑体" w:cs="Arial"/>
          <w:color w:val="000000" w:themeColor="text1"/>
          <w:sz w:val="24"/>
          <w:szCs w:val="24"/>
        </w:rPr>
      </w:pPr>
      <w:r>
        <w:rPr>
          <w:rFonts w:ascii="黑体" w:eastAsia="黑体" w:hAnsi="黑体" w:hint="eastAsia"/>
          <w:color w:val="000000" w:themeColor="text1"/>
          <w:sz w:val="24"/>
          <w:szCs w:val="24"/>
        </w:rPr>
        <w:t>（</w:t>
      </w:r>
      <w:r>
        <w:rPr>
          <w:rFonts w:ascii="黑体" w:eastAsia="黑体" w:hAnsi="黑体"/>
          <w:color w:val="000000" w:themeColor="text1"/>
          <w:sz w:val="24"/>
          <w:szCs w:val="24"/>
        </w:rPr>
        <w:t>3</w:t>
      </w:r>
      <w:r>
        <w:rPr>
          <w:rFonts w:ascii="黑体" w:eastAsia="黑体" w:hAnsi="黑体" w:hint="eastAsia"/>
          <w:color w:val="000000" w:themeColor="text1"/>
          <w:sz w:val="24"/>
          <w:szCs w:val="24"/>
        </w:rPr>
        <w:t>）将企业计算的利息支出的利率与一般商业贷款利率进行比较分析，确认利息支出是否可税前扣除，应特别关注关联公司之间融资利率、非金融机构贷款利率，</w:t>
      </w:r>
      <w:r>
        <w:rPr>
          <w:rFonts w:ascii="黑体" w:eastAsia="黑体" w:hAnsi="黑体" w:cs="Arial" w:hint="eastAsia"/>
          <w:color w:val="000000" w:themeColor="text1"/>
          <w:sz w:val="24"/>
          <w:szCs w:val="24"/>
        </w:rPr>
        <w:t>是否超过按照金融企业同期同类贷款利率</w:t>
      </w:r>
      <w:r>
        <w:rPr>
          <w:rFonts w:ascii="黑体" w:eastAsia="黑体" w:hAnsi="黑体" w:hint="eastAsia"/>
          <w:color w:val="000000" w:themeColor="text1"/>
          <w:sz w:val="24"/>
          <w:szCs w:val="24"/>
        </w:rPr>
        <w:t>计</w:t>
      </w:r>
      <w:r>
        <w:rPr>
          <w:rFonts w:ascii="黑体" w:eastAsia="黑体" w:hAnsi="黑体" w:cs="Arial" w:hint="eastAsia"/>
          <w:color w:val="000000" w:themeColor="text1"/>
          <w:sz w:val="24"/>
          <w:szCs w:val="24"/>
        </w:rPr>
        <w:t>算的数额的部分。</w:t>
      </w:r>
    </w:p>
    <w:p w:rsidR="00683742" w:rsidRDefault="00F87A27" w:rsidP="007302F8">
      <w:pPr>
        <w:adjustRightInd w:val="0"/>
        <w:snapToGrid w:val="0"/>
        <w:spacing w:beforeLines="50" w:line="360" w:lineRule="auto"/>
        <w:ind w:firstLineChars="150" w:firstLine="360"/>
        <w:rPr>
          <w:rFonts w:ascii="黑体" w:eastAsia="黑体" w:hAnsi="黑体"/>
          <w:color w:val="000000" w:themeColor="text1"/>
          <w:sz w:val="24"/>
          <w:szCs w:val="24"/>
        </w:rPr>
      </w:pPr>
      <w:r>
        <w:rPr>
          <w:rFonts w:ascii="黑体" w:eastAsia="黑体" w:hAnsi="黑体" w:hint="eastAsia"/>
          <w:color w:val="000000" w:themeColor="text1"/>
          <w:sz w:val="24"/>
          <w:szCs w:val="24"/>
        </w:rPr>
        <w:t>（</w:t>
      </w:r>
      <w:r>
        <w:rPr>
          <w:rFonts w:ascii="黑体" w:eastAsia="黑体" w:hAnsi="黑体"/>
          <w:color w:val="000000" w:themeColor="text1"/>
          <w:sz w:val="24"/>
          <w:szCs w:val="24"/>
        </w:rPr>
        <w:t>4</w:t>
      </w:r>
      <w:r>
        <w:rPr>
          <w:rFonts w:ascii="黑体" w:eastAsia="黑体" w:hAnsi="黑体" w:hint="eastAsia"/>
          <w:color w:val="000000" w:themeColor="text1"/>
          <w:sz w:val="24"/>
          <w:szCs w:val="24"/>
        </w:rPr>
        <w:t>）检查利息的税务处理是否正确，如属于筹建期间的利息支出是否加计开办费、属于固定资产借款，其利息支出是否进行必要的资本化</w:t>
      </w:r>
    </w:p>
    <w:p w:rsidR="00683742" w:rsidRDefault="00F87A27" w:rsidP="007302F8">
      <w:pPr>
        <w:adjustRightInd w:val="0"/>
        <w:snapToGrid w:val="0"/>
        <w:spacing w:beforeLines="50" w:line="360" w:lineRule="auto"/>
        <w:ind w:firstLineChars="150" w:firstLine="360"/>
        <w:rPr>
          <w:rFonts w:ascii="黑体" w:eastAsia="黑体" w:hAnsi="黑体"/>
          <w:color w:val="000000" w:themeColor="text1"/>
          <w:sz w:val="24"/>
          <w:szCs w:val="24"/>
        </w:rPr>
      </w:pPr>
      <w:r>
        <w:rPr>
          <w:rFonts w:ascii="黑体" w:eastAsia="黑体" w:hAnsi="黑体" w:hint="eastAsia"/>
          <w:color w:val="000000" w:themeColor="text1"/>
          <w:sz w:val="24"/>
          <w:szCs w:val="24"/>
        </w:rPr>
        <w:t>（</w:t>
      </w:r>
      <w:r>
        <w:rPr>
          <w:rFonts w:ascii="黑体" w:eastAsia="黑体" w:hAnsi="黑体"/>
          <w:color w:val="000000" w:themeColor="text1"/>
          <w:sz w:val="24"/>
          <w:szCs w:val="24"/>
        </w:rPr>
        <w:t>5</w:t>
      </w:r>
      <w:r>
        <w:rPr>
          <w:rFonts w:ascii="黑体" w:eastAsia="黑体" w:hAnsi="黑体" w:hint="eastAsia"/>
          <w:color w:val="000000" w:themeColor="text1"/>
          <w:sz w:val="24"/>
          <w:szCs w:val="24"/>
        </w:rPr>
        <w:t>）支付金融企业利息支出是否有发票？票据是否符合相关规定。</w:t>
      </w:r>
    </w:p>
    <w:p w:rsidR="00683742" w:rsidRDefault="00F87A27" w:rsidP="007302F8">
      <w:pPr>
        <w:adjustRightInd w:val="0"/>
        <w:snapToGrid w:val="0"/>
        <w:spacing w:beforeLines="50" w:line="360" w:lineRule="auto"/>
        <w:ind w:firstLineChars="200" w:firstLine="482"/>
        <w:outlineLvl w:val="3"/>
        <w:rPr>
          <w:rFonts w:ascii="黑体" w:eastAsia="黑体" w:hAnsi="黑体"/>
          <w:b/>
          <w:color w:val="000000" w:themeColor="text1"/>
          <w:sz w:val="24"/>
          <w:szCs w:val="24"/>
        </w:rPr>
      </w:pPr>
      <w:bookmarkStart w:id="37" w:name="_Toc19374"/>
      <w:r>
        <w:rPr>
          <w:rFonts w:ascii="黑体" w:eastAsia="黑体" w:hAnsi="黑体"/>
          <w:b/>
          <w:color w:val="000000" w:themeColor="text1"/>
          <w:sz w:val="24"/>
          <w:szCs w:val="24"/>
        </w:rPr>
        <w:t>5</w:t>
      </w:r>
      <w:r>
        <w:rPr>
          <w:rFonts w:ascii="黑体" w:eastAsia="黑体" w:hAnsi="黑体" w:hint="eastAsia"/>
          <w:b/>
          <w:color w:val="000000" w:themeColor="text1"/>
          <w:sz w:val="24"/>
          <w:szCs w:val="24"/>
        </w:rPr>
        <w:t>、佣金和手续费支出审核要点</w:t>
      </w:r>
      <w:bookmarkEnd w:id="37"/>
    </w:p>
    <w:p w:rsidR="00683742" w:rsidRDefault="00F87A27" w:rsidP="007302F8">
      <w:pPr>
        <w:adjustRightInd w:val="0"/>
        <w:snapToGrid w:val="0"/>
        <w:spacing w:beforeLines="50" w:line="360" w:lineRule="auto"/>
        <w:ind w:firstLineChars="150" w:firstLine="360"/>
        <w:rPr>
          <w:rFonts w:ascii="黑体" w:eastAsia="黑体" w:hAnsi="黑体"/>
          <w:color w:val="000000" w:themeColor="text1"/>
          <w:sz w:val="24"/>
          <w:szCs w:val="24"/>
        </w:rPr>
      </w:pPr>
      <w:r>
        <w:rPr>
          <w:rFonts w:ascii="黑体" w:eastAsia="黑体" w:hAnsi="黑体" w:hint="eastAsia"/>
          <w:color w:val="000000" w:themeColor="text1"/>
          <w:sz w:val="24"/>
          <w:szCs w:val="24"/>
        </w:rPr>
        <w:t>（</w:t>
      </w:r>
      <w:r>
        <w:rPr>
          <w:rFonts w:ascii="黑体" w:eastAsia="黑体" w:hAnsi="黑体"/>
          <w:color w:val="000000" w:themeColor="text1"/>
          <w:sz w:val="24"/>
          <w:szCs w:val="24"/>
        </w:rPr>
        <w:t>1</w:t>
      </w:r>
      <w:r>
        <w:rPr>
          <w:rFonts w:ascii="黑体" w:eastAsia="黑体" w:hAnsi="黑体" w:hint="eastAsia"/>
          <w:color w:val="000000" w:themeColor="text1"/>
          <w:sz w:val="24"/>
          <w:szCs w:val="24"/>
        </w:rPr>
        <w:t>）审核被审核企业业务性质类型（保险行业、从事代理服务企业或是其他企业）了解企业支付的佣金和手续费的性质。其支付的佣金手续费是否超过税收相关法律对相关行业规定的标准。是否明显超过了被审核单位或所属行业的通常</w:t>
      </w:r>
      <w:r>
        <w:rPr>
          <w:rFonts w:ascii="黑体" w:eastAsia="黑体" w:hAnsi="黑体" w:hint="eastAsia"/>
          <w:color w:val="000000" w:themeColor="text1"/>
          <w:sz w:val="24"/>
          <w:szCs w:val="24"/>
        </w:rPr>
        <w:lastRenderedPageBreak/>
        <w:t>标准。是否可以结转下一年度扣除。</w:t>
      </w:r>
    </w:p>
    <w:p w:rsidR="00683742" w:rsidRDefault="00F87A27" w:rsidP="007302F8">
      <w:pPr>
        <w:adjustRightInd w:val="0"/>
        <w:snapToGrid w:val="0"/>
        <w:spacing w:beforeLines="50" w:line="360" w:lineRule="auto"/>
        <w:ind w:firstLineChars="150" w:firstLine="360"/>
        <w:rPr>
          <w:rFonts w:ascii="黑体" w:eastAsia="黑体" w:hAnsi="黑体"/>
          <w:color w:val="000000" w:themeColor="text1"/>
          <w:sz w:val="24"/>
          <w:szCs w:val="24"/>
        </w:rPr>
      </w:pPr>
      <w:r>
        <w:rPr>
          <w:rFonts w:ascii="黑体" w:eastAsia="黑体" w:hAnsi="黑体" w:hint="eastAsia"/>
          <w:color w:val="000000" w:themeColor="text1"/>
          <w:sz w:val="24"/>
          <w:szCs w:val="24"/>
        </w:rPr>
        <w:t>（</w:t>
      </w:r>
      <w:r>
        <w:rPr>
          <w:rFonts w:ascii="黑体" w:eastAsia="黑体" w:hAnsi="黑体"/>
          <w:color w:val="000000" w:themeColor="text1"/>
          <w:sz w:val="24"/>
          <w:szCs w:val="24"/>
        </w:rPr>
        <w:t>2</w:t>
      </w:r>
      <w:r>
        <w:rPr>
          <w:rFonts w:ascii="黑体" w:eastAsia="黑体" w:hAnsi="黑体" w:hint="eastAsia"/>
          <w:color w:val="000000" w:themeColor="text1"/>
          <w:sz w:val="24"/>
          <w:szCs w:val="24"/>
        </w:rPr>
        <w:t>）审核佣金及手续费的列支是否具有合法性、合规性，企业是否以白条或非正规收据列支佣金。</w:t>
      </w:r>
    </w:p>
    <w:p w:rsidR="00683742" w:rsidRDefault="00F87A27" w:rsidP="007302F8">
      <w:pPr>
        <w:adjustRightInd w:val="0"/>
        <w:snapToGrid w:val="0"/>
        <w:spacing w:beforeLines="50" w:line="360" w:lineRule="auto"/>
        <w:ind w:firstLineChars="150" w:firstLine="360"/>
        <w:rPr>
          <w:rFonts w:ascii="黑体" w:eastAsia="黑体" w:hAnsi="黑体"/>
          <w:color w:val="000000" w:themeColor="text1"/>
          <w:sz w:val="24"/>
          <w:szCs w:val="24"/>
        </w:rPr>
      </w:pPr>
      <w:r>
        <w:rPr>
          <w:rFonts w:ascii="黑体" w:eastAsia="黑体" w:hAnsi="黑体" w:hint="eastAsia"/>
          <w:color w:val="000000" w:themeColor="text1"/>
          <w:sz w:val="24"/>
          <w:szCs w:val="24"/>
        </w:rPr>
        <w:t>（</w:t>
      </w:r>
      <w:r>
        <w:rPr>
          <w:rFonts w:ascii="黑体" w:eastAsia="黑体" w:hAnsi="黑体"/>
          <w:color w:val="000000" w:themeColor="text1"/>
          <w:sz w:val="24"/>
          <w:szCs w:val="24"/>
        </w:rPr>
        <w:t>3</w:t>
      </w:r>
      <w:r>
        <w:rPr>
          <w:rFonts w:ascii="黑体" w:eastAsia="黑体" w:hAnsi="黑体" w:hint="eastAsia"/>
          <w:color w:val="000000" w:themeColor="text1"/>
          <w:sz w:val="24"/>
          <w:szCs w:val="24"/>
        </w:rPr>
        <w:t>）审核企业是否与具有合法经营资格中介服务企业或个人签订代办协议或合同，除委托个人代理外，企业是否以现金等非转账方式支付手续费及佣金</w:t>
      </w:r>
    </w:p>
    <w:p w:rsidR="00683742" w:rsidRDefault="00F87A27" w:rsidP="007302F8">
      <w:pPr>
        <w:adjustRightInd w:val="0"/>
        <w:snapToGrid w:val="0"/>
        <w:spacing w:beforeLines="50" w:line="312" w:lineRule="auto"/>
        <w:ind w:firstLineChars="150" w:firstLine="360"/>
        <w:rPr>
          <w:rFonts w:ascii="黑体" w:eastAsia="黑体" w:hAnsi="黑体"/>
          <w:color w:val="000000" w:themeColor="text1"/>
          <w:sz w:val="24"/>
          <w:szCs w:val="24"/>
        </w:rPr>
      </w:pPr>
      <w:r>
        <w:rPr>
          <w:rFonts w:ascii="黑体" w:eastAsia="黑体" w:hAnsi="黑体" w:hint="eastAsia"/>
          <w:color w:val="000000" w:themeColor="text1"/>
          <w:sz w:val="24"/>
          <w:szCs w:val="24"/>
        </w:rPr>
        <w:t>（</w:t>
      </w:r>
      <w:r>
        <w:rPr>
          <w:rFonts w:ascii="黑体" w:eastAsia="黑体" w:hAnsi="黑体"/>
          <w:color w:val="000000" w:themeColor="text1"/>
          <w:sz w:val="24"/>
          <w:szCs w:val="24"/>
        </w:rPr>
        <w:t>4</w:t>
      </w:r>
      <w:r>
        <w:rPr>
          <w:rFonts w:ascii="黑体" w:eastAsia="黑体" w:hAnsi="黑体" w:hint="eastAsia"/>
          <w:color w:val="000000" w:themeColor="text1"/>
          <w:sz w:val="24"/>
          <w:szCs w:val="24"/>
        </w:rPr>
        <w:t>）审核企业是否将手续费及佣金支出加计回扣、业务提成、返利、进场费等费用。</w:t>
      </w:r>
    </w:p>
    <w:p w:rsidR="00683742" w:rsidRDefault="00F87A27" w:rsidP="007302F8">
      <w:pPr>
        <w:adjustRightInd w:val="0"/>
        <w:snapToGrid w:val="0"/>
        <w:spacing w:beforeLines="50" w:line="312" w:lineRule="auto"/>
        <w:ind w:firstLineChars="150" w:firstLine="360"/>
        <w:rPr>
          <w:rFonts w:ascii="黑体" w:eastAsia="黑体" w:hAnsi="黑体"/>
          <w:color w:val="000000" w:themeColor="text1"/>
          <w:sz w:val="24"/>
          <w:szCs w:val="24"/>
        </w:rPr>
      </w:pPr>
      <w:r>
        <w:rPr>
          <w:rFonts w:ascii="黑体" w:eastAsia="黑体" w:hAnsi="黑体" w:hint="eastAsia"/>
          <w:color w:val="000000" w:themeColor="text1"/>
          <w:sz w:val="24"/>
          <w:szCs w:val="24"/>
        </w:rPr>
        <w:t>（</w:t>
      </w:r>
      <w:r>
        <w:rPr>
          <w:rFonts w:ascii="黑体" w:eastAsia="黑体" w:hAnsi="黑体"/>
          <w:color w:val="000000" w:themeColor="text1"/>
          <w:sz w:val="24"/>
          <w:szCs w:val="24"/>
        </w:rPr>
        <w:t>5</w:t>
      </w:r>
      <w:r>
        <w:rPr>
          <w:rFonts w:ascii="黑体" w:eastAsia="黑体" w:hAnsi="黑体" w:hint="eastAsia"/>
          <w:color w:val="000000" w:themeColor="text1"/>
          <w:sz w:val="24"/>
          <w:szCs w:val="24"/>
        </w:rPr>
        <w:t>）审核企业已加计固定资产、无形资产等相关资产的手续费及佣金支出，是否通过折旧、摊销等方式分期扣除。</w:t>
      </w:r>
    </w:p>
    <w:p w:rsidR="00683742" w:rsidRDefault="00F87A27" w:rsidP="007302F8">
      <w:pPr>
        <w:adjustRightInd w:val="0"/>
        <w:snapToGrid w:val="0"/>
        <w:spacing w:beforeLines="50" w:line="312" w:lineRule="auto"/>
        <w:ind w:firstLineChars="150" w:firstLine="360"/>
        <w:rPr>
          <w:rFonts w:ascii="黑体" w:eastAsia="黑体" w:hAnsi="黑体"/>
          <w:color w:val="000000" w:themeColor="text1"/>
          <w:sz w:val="24"/>
          <w:szCs w:val="24"/>
        </w:rPr>
      </w:pPr>
      <w:r>
        <w:rPr>
          <w:rFonts w:ascii="黑体" w:eastAsia="黑体" w:hAnsi="黑体" w:hint="eastAsia"/>
          <w:color w:val="000000" w:themeColor="text1"/>
          <w:sz w:val="24"/>
          <w:szCs w:val="24"/>
        </w:rPr>
        <w:t>（</w:t>
      </w:r>
      <w:r>
        <w:rPr>
          <w:rFonts w:ascii="黑体" w:eastAsia="黑体" w:hAnsi="黑体"/>
          <w:color w:val="000000" w:themeColor="text1"/>
          <w:sz w:val="24"/>
          <w:szCs w:val="24"/>
        </w:rPr>
        <w:t>6</w:t>
      </w:r>
      <w:r>
        <w:rPr>
          <w:rFonts w:ascii="黑体" w:eastAsia="黑体" w:hAnsi="黑体" w:hint="eastAsia"/>
          <w:color w:val="000000" w:themeColor="text1"/>
          <w:sz w:val="24"/>
          <w:szCs w:val="24"/>
        </w:rPr>
        <w:t>）获取相关合同或协议，了解掌握佣金和手续费支付的依据。落实佣金和手续费计算基数及扣除比例是否正确。计算金额是否正确。</w:t>
      </w:r>
    </w:p>
    <w:p w:rsidR="00683742" w:rsidRDefault="00F87A27" w:rsidP="007302F8">
      <w:pPr>
        <w:adjustRightInd w:val="0"/>
        <w:snapToGrid w:val="0"/>
        <w:spacing w:beforeLines="50" w:line="360" w:lineRule="auto"/>
        <w:ind w:firstLineChars="200" w:firstLine="482"/>
        <w:outlineLvl w:val="3"/>
        <w:rPr>
          <w:rFonts w:ascii="黑体" w:eastAsia="黑体" w:hAnsi="黑体"/>
          <w:b/>
          <w:color w:val="000000" w:themeColor="text1"/>
          <w:sz w:val="24"/>
          <w:szCs w:val="24"/>
        </w:rPr>
      </w:pPr>
      <w:bookmarkStart w:id="38" w:name="_Toc22195"/>
      <w:r>
        <w:rPr>
          <w:rFonts w:ascii="黑体" w:eastAsia="黑体" w:hAnsi="黑体"/>
          <w:b/>
          <w:color w:val="000000" w:themeColor="text1"/>
          <w:sz w:val="24"/>
          <w:szCs w:val="24"/>
        </w:rPr>
        <w:t>6</w:t>
      </w:r>
      <w:r>
        <w:rPr>
          <w:rFonts w:ascii="黑体" w:eastAsia="黑体" w:hAnsi="黑体" w:hint="eastAsia"/>
          <w:b/>
          <w:color w:val="000000" w:themeColor="text1"/>
          <w:sz w:val="24"/>
          <w:szCs w:val="24"/>
        </w:rPr>
        <w:t>、赞助支出审核要点</w:t>
      </w:r>
      <w:bookmarkEnd w:id="38"/>
    </w:p>
    <w:p w:rsidR="00683742" w:rsidRDefault="00F87A27" w:rsidP="007302F8">
      <w:pPr>
        <w:adjustRightInd w:val="0"/>
        <w:snapToGrid w:val="0"/>
        <w:spacing w:beforeLines="50" w:line="360" w:lineRule="auto"/>
        <w:ind w:firstLineChars="150" w:firstLine="360"/>
        <w:rPr>
          <w:rFonts w:ascii="黑体" w:eastAsia="黑体" w:hAnsi="黑体"/>
          <w:color w:val="000000" w:themeColor="text1"/>
          <w:sz w:val="24"/>
          <w:szCs w:val="24"/>
        </w:rPr>
      </w:pPr>
      <w:r>
        <w:rPr>
          <w:rFonts w:ascii="黑体" w:eastAsia="黑体" w:hAnsi="黑体" w:hint="eastAsia"/>
          <w:color w:val="000000" w:themeColor="text1"/>
          <w:sz w:val="24"/>
          <w:szCs w:val="24"/>
        </w:rPr>
        <w:t>（</w:t>
      </w:r>
      <w:r>
        <w:rPr>
          <w:rFonts w:ascii="黑体" w:eastAsia="黑体" w:hAnsi="黑体"/>
          <w:color w:val="000000" w:themeColor="text1"/>
          <w:sz w:val="24"/>
          <w:szCs w:val="24"/>
        </w:rPr>
        <w:t>1</w:t>
      </w:r>
      <w:r>
        <w:rPr>
          <w:rFonts w:ascii="黑体" w:eastAsia="黑体" w:hAnsi="黑体" w:hint="eastAsia"/>
          <w:color w:val="000000" w:themeColor="text1"/>
          <w:sz w:val="24"/>
          <w:szCs w:val="24"/>
        </w:rPr>
        <w:t>）审核企业“管理费用”、“销售费用”科目及相关原始凭证，落实企业发生的赞助支出的真实性、合理性，是否与生产经营无关；有无广告宣传费、捐赠支出等在赞助支出中列支的情况；有无赞助支出加计其他费用的行为；</w:t>
      </w:r>
    </w:p>
    <w:p w:rsidR="00683742" w:rsidRDefault="00F87A27" w:rsidP="007302F8">
      <w:pPr>
        <w:adjustRightInd w:val="0"/>
        <w:snapToGrid w:val="0"/>
        <w:spacing w:beforeLines="50" w:line="360" w:lineRule="auto"/>
        <w:ind w:firstLineChars="150" w:firstLine="360"/>
        <w:rPr>
          <w:rFonts w:ascii="黑体" w:eastAsia="黑体" w:hAnsi="黑体"/>
          <w:b/>
          <w:color w:val="000000" w:themeColor="text1"/>
          <w:sz w:val="24"/>
          <w:szCs w:val="24"/>
        </w:rPr>
      </w:pPr>
      <w:r>
        <w:rPr>
          <w:rFonts w:ascii="黑体" w:eastAsia="黑体" w:hAnsi="黑体" w:hint="eastAsia"/>
          <w:color w:val="000000" w:themeColor="text1"/>
          <w:sz w:val="24"/>
          <w:szCs w:val="24"/>
        </w:rPr>
        <w:t>（2）审核赞助支出是否已签订相关合同或协议，合同协议的具体内容或性质，支出是否取得发票，发票内容是否符合相关规定，支付费用方是否使自己提供的产品或服务通过一定媒介和形式表现出来，赞助的活动是否直接或间接表现企业所提供的产品或服务？据以判定支出是否属于企业所得税法规定的，与生产经营活动无关的各种非广告性质的支出。</w:t>
      </w:r>
      <w:r>
        <w:rPr>
          <w:rFonts w:ascii="黑体" w:eastAsia="黑体" w:hAnsi="黑体"/>
          <w:color w:val="000000" w:themeColor="text1"/>
          <w:sz w:val="24"/>
          <w:szCs w:val="24"/>
        </w:rPr>
        <w:t xml:space="preserve"> </w:t>
      </w:r>
    </w:p>
    <w:p w:rsidR="00683742" w:rsidRDefault="00F87A27" w:rsidP="007302F8">
      <w:pPr>
        <w:adjustRightInd w:val="0"/>
        <w:snapToGrid w:val="0"/>
        <w:spacing w:beforeLines="50" w:line="360" w:lineRule="auto"/>
        <w:ind w:firstLineChars="200" w:firstLine="482"/>
        <w:outlineLvl w:val="3"/>
        <w:rPr>
          <w:rFonts w:ascii="黑体" w:eastAsia="黑体" w:hAnsi="黑体"/>
          <w:b/>
          <w:bCs/>
          <w:color w:val="000000" w:themeColor="text1"/>
          <w:sz w:val="24"/>
          <w:szCs w:val="24"/>
        </w:rPr>
      </w:pPr>
      <w:bookmarkStart w:id="39" w:name="_Toc15895"/>
      <w:r>
        <w:rPr>
          <w:rFonts w:ascii="黑体" w:eastAsia="黑体" w:hAnsi="黑体"/>
          <w:b/>
          <w:color w:val="000000" w:themeColor="text1"/>
          <w:sz w:val="24"/>
          <w:szCs w:val="24"/>
        </w:rPr>
        <w:t>7</w:t>
      </w:r>
      <w:r>
        <w:rPr>
          <w:rFonts w:ascii="黑体" w:eastAsia="黑体" w:hAnsi="黑体" w:hint="eastAsia"/>
          <w:b/>
          <w:color w:val="000000" w:themeColor="text1"/>
          <w:sz w:val="24"/>
          <w:szCs w:val="24"/>
        </w:rPr>
        <w:t>、跨期扣除项目审核要点</w:t>
      </w:r>
      <w:bookmarkEnd w:id="39"/>
    </w:p>
    <w:p w:rsidR="00683742" w:rsidRDefault="00F87A27" w:rsidP="007302F8">
      <w:pPr>
        <w:adjustRightInd w:val="0"/>
        <w:snapToGrid w:val="0"/>
        <w:spacing w:beforeLines="50" w:line="360" w:lineRule="auto"/>
        <w:ind w:firstLineChars="150" w:firstLine="360"/>
        <w:rPr>
          <w:rFonts w:ascii="黑体" w:eastAsia="黑体" w:hAnsi="黑体"/>
          <w:color w:val="000000" w:themeColor="text1"/>
          <w:sz w:val="24"/>
          <w:szCs w:val="24"/>
        </w:rPr>
      </w:pPr>
      <w:r>
        <w:rPr>
          <w:rFonts w:ascii="黑体" w:eastAsia="黑体" w:hAnsi="黑体" w:hint="eastAsia"/>
          <w:color w:val="000000" w:themeColor="text1"/>
          <w:sz w:val="24"/>
          <w:szCs w:val="24"/>
        </w:rPr>
        <w:t>（</w:t>
      </w:r>
      <w:r>
        <w:rPr>
          <w:rFonts w:ascii="黑体" w:eastAsia="黑体" w:hAnsi="黑体"/>
          <w:color w:val="000000" w:themeColor="text1"/>
          <w:sz w:val="24"/>
          <w:szCs w:val="24"/>
        </w:rPr>
        <w:t>1</w:t>
      </w:r>
      <w:r>
        <w:rPr>
          <w:rFonts w:ascii="黑体" w:eastAsia="黑体" w:hAnsi="黑体" w:hint="eastAsia"/>
          <w:color w:val="000000" w:themeColor="text1"/>
          <w:sz w:val="24"/>
          <w:szCs w:val="24"/>
        </w:rPr>
        <w:t>）审核企业是否存在维简费、安全生产费用、预提费用、预计负债等费用，上述费用是否已在企业账面计提并记入相关的费用或成本。截止到所得税汇算清缴日未实际支付。</w:t>
      </w:r>
    </w:p>
    <w:p w:rsidR="00683742" w:rsidRDefault="00F87A27" w:rsidP="007302F8">
      <w:pPr>
        <w:adjustRightInd w:val="0"/>
        <w:snapToGrid w:val="0"/>
        <w:spacing w:beforeLines="50" w:line="360" w:lineRule="auto"/>
        <w:ind w:firstLineChars="150" w:firstLine="360"/>
        <w:rPr>
          <w:rFonts w:ascii="黑体" w:eastAsia="黑体" w:hAnsi="黑体"/>
          <w:b/>
          <w:color w:val="000000" w:themeColor="text1"/>
          <w:sz w:val="24"/>
          <w:szCs w:val="24"/>
        </w:rPr>
      </w:pPr>
      <w:r>
        <w:rPr>
          <w:rFonts w:ascii="黑体" w:eastAsia="黑体" w:hAnsi="黑体" w:hint="eastAsia"/>
          <w:color w:val="000000" w:themeColor="text1"/>
          <w:sz w:val="24"/>
          <w:szCs w:val="24"/>
        </w:rPr>
        <w:t>（</w:t>
      </w:r>
      <w:r>
        <w:rPr>
          <w:rFonts w:ascii="黑体" w:eastAsia="黑体" w:hAnsi="黑体"/>
          <w:color w:val="000000" w:themeColor="text1"/>
          <w:sz w:val="24"/>
          <w:szCs w:val="24"/>
        </w:rPr>
        <w:t>2</w:t>
      </w:r>
      <w:r>
        <w:rPr>
          <w:rFonts w:ascii="黑体" w:eastAsia="黑体" w:hAnsi="黑体" w:hint="eastAsia"/>
          <w:color w:val="000000" w:themeColor="text1"/>
          <w:sz w:val="24"/>
          <w:szCs w:val="24"/>
        </w:rPr>
        <w:t>）审核企业本年成本费用中是否列支上年度或计提下一年度的成本费用情况。</w:t>
      </w:r>
    </w:p>
    <w:p w:rsidR="00683742" w:rsidRDefault="00F87A27" w:rsidP="007302F8">
      <w:pPr>
        <w:adjustRightInd w:val="0"/>
        <w:snapToGrid w:val="0"/>
        <w:spacing w:beforeLines="50" w:line="360" w:lineRule="auto"/>
        <w:ind w:firstLineChars="200" w:firstLine="482"/>
        <w:outlineLvl w:val="3"/>
        <w:rPr>
          <w:rFonts w:ascii="黑体" w:eastAsia="黑体" w:hAnsi="黑体"/>
          <w:b/>
          <w:color w:val="000000" w:themeColor="text1"/>
          <w:sz w:val="24"/>
          <w:szCs w:val="24"/>
        </w:rPr>
      </w:pPr>
      <w:bookmarkStart w:id="40" w:name="_Toc5955"/>
      <w:r>
        <w:rPr>
          <w:rFonts w:ascii="黑体" w:eastAsia="黑体" w:hAnsi="黑体"/>
          <w:b/>
          <w:color w:val="000000" w:themeColor="text1"/>
          <w:sz w:val="24"/>
          <w:szCs w:val="24"/>
        </w:rPr>
        <w:t>8</w:t>
      </w:r>
      <w:r>
        <w:rPr>
          <w:rFonts w:ascii="黑体" w:eastAsia="黑体" w:hAnsi="黑体" w:hint="eastAsia"/>
          <w:b/>
          <w:color w:val="000000" w:themeColor="text1"/>
          <w:sz w:val="24"/>
          <w:szCs w:val="24"/>
        </w:rPr>
        <w:t>、与取得收入无关的支出审核要点</w:t>
      </w:r>
      <w:bookmarkEnd w:id="40"/>
    </w:p>
    <w:p w:rsidR="00683742" w:rsidRDefault="00F87A27" w:rsidP="007302F8">
      <w:pPr>
        <w:adjustRightInd w:val="0"/>
        <w:snapToGrid w:val="0"/>
        <w:spacing w:beforeLines="50" w:line="360" w:lineRule="auto"/>
        <w:ind w:firstLineChars="150" w:firstLine="360"/>
        <w:rPr>
          <w:rFonts w:ascii="黑体" w:eastAsia="黑体" w:hAnsi="黑体"/>
          <w:color w:val="000000" w:themeColor="text1"/>
          <w:sz w:val="24"/>
          <w:szCs w:val="24"/>
        </w:rPr>
      </w:pPr>
      <w:r>
        <w:rPr>
          <w:rFonts w:ascii="黑体" w:eastAsia="黑体" w:hAnsi="黑体" w:hint="eastAsia"/>
          <w:color w:val="000000" w:themeColor="text1"/>
          <w:sz w:val="24"/>
          <w:szCs w:val="24"/>
        </w:rPr>
        <w:lastRenderedPageBreak/>
        <w:t>（</w:t>
      </w:r>
      <w:r>
        <w:rPr>
          <w:rFonts w:ascii="黑体" w:eastAsia="黑体" w:hAnsi="黑体"/>
          <w:color w:val="000000" w:themeColor="text1"/>
          <w:sz w:val="24"/>
          <w:szCs w:val="24"/>
        </w:rPr>
        <w:t>1</w:t>
      </w:r>
      <w:r>
        <w:rPr>
          <w:rFonts w:ascii="黑体" w:eastAsia="黑体" w:hAnsi="黑体" w:hint="eastAsia"/>
          <w:color w:val="000000" w:themeColor="text1"/>
          <w:sz w:val="24"/>
          <w:szCs w:val="24"/>
        </w:rPr>
        <w:t>）了解企业是否存在税前列支与取得收入无关的成本费用支出和不合理的成本费用支出的行为；</w:t>
      </w:r>
    </w:p>
    <w:p w:rsidR="00683742" w:rsidRDefault="00F87A27" w:rsidP="007302F8">
      <w:pPr>
        <w:adjustRightInd w:val="0"/>
        <w:snapToGrid w:val="0"/>
        <w:spacing w:beforeLines="50" w:line="360" w:lineRule="auto"/>
        <w:ind w:firstLineChars="150" w:firstLine="360"/>
        <w:rPr>
          <w:rFonts w:ascii="黑体" w:eastAsia="黑体" w:hAnsi="黑体"/>
          <w:color w:val="000000" w:themeColor="text1"/>
          <w:sz w:val="24"/>
          <w:szCs w:val="24"/>
        </w:rPr>
      </w:pPr>
      <w:r>
        <w:rPr>
          <w:rFonts w:ascii="黑体" w:eastAsia="黑体" w:hAnsi="黑体" w:hint="eastAsia"/>
          <w:color w:val="000000" w:themeColor="text1"/>
          <w:sz w:val="24"/>
          <w:szCs w:val="24"/>
        </w:rPr>
        <w:t>（</w:t>
      </w:r>
      <w:r>
        <w:rPr>
          <w:rFonts w:ascii="黑体" w:eastAsia="黑体" w:hAnsi="黑体"/>
          <w:color w:val="000000" w:themeColor="text1"/>
          <w:sz w:val="24"/>
          <w:szCs w:val="24"/>
        </w:rPr>
        <w:t>2</w:t>
      </w:r>
      <w:r>
        <w:rPr>
          <w:rFonts w:ascii="黑体" w:eastAsia="黑体" w:hAnsi="黑体" w:hint="eastAsia"/>
          <w:color w:val="000000" w:themeColor="text1"/>
          <w:sz w:val="24"/>
          <w:szCs w:val="24"/>
        </w:rPr>
        <w:t>）查看“管理费用”、“销售费用”明细帐，抽取相关凭证，审核有无存在应由个人承担的汽车燃油费、过路过桥费以及保险费等费用在税前列支；</w:t>
      </w:r>
    </w:p>
    <w:p w:rsidR="00683742" w:rsidRDefault="00F87A27" w:rsidP="007302F8">
      <w:pPr>
        <w:adjustRightInd w:val="0"/>
        <w:snapToGrid w:val="0"/>
        <w:spacing w:beforeLines="50" w:line="360" w:lineRule="auto"/>
        <w:ind w:firstLineChars="150" w:firstLine="360"/>
        <w:rPr>
          <w:rFonts w:ascii="黑体" w:eastAsia="黑体" w:hAnsi="黑体"/>
          <w:color w:val="000000" w:themeColor="text1"/>
          <w:sz w:val="24"/>
          <w:szCs w:val="24"/>
        </w:rPr>
      </w:pPr>
      <w:r>
        <w:rPr>
          <w:rFonts w:ascii="黑体" w:eastAsia="黑体" w:hAnsi="黑体" w:hint="eastAsia"/>
          <w:color w:val="000000" w:themeColor="text1"/>
          <w:sz w:val="24"/>
          <w:szCs w:val="24"/>
        </w:rPr>
        <w:t>（</w:t>
      </w:r>
      <w:r>
        <w:rPr>
          <w:rFonts w:ascii="黑体" w:eastAsia="黑体" w:hAnsi="黑体"/>
          <w:color w:val="000000" w:themeColor="text1"/>
          <w:sz w:val="24"/>
          <w:szCs w:val="24"/>
        </w:rPr>
        <w:t>3</w:t>
      </w:r>
      <w:r>
        <w:rPr>
          <w:rFonts w:ascii="黑体" w:eastAsia="黑体" w:hAnsi="黑体" w:hint="eastAsia"/>
          <w:color w:val="000000" w:themeColor="text1"/>
          <w:sz w:val="24"/>
          <w:szCs w:val="24"/>
        </w:rPr>
        <w:t>）了解上述支出的性质及发生的原因。</w:t>
      </w:r>
    </w:p>
    <w:p w:rsidR="00683742" w:rsidRDefault="00F87A27" w:rsidP="007302F8">
      <w:pPr>
        <w:adjustRightInd w:val="0"/>
        <w:snapToGrid w:val="0"/>
        <w:spacing w:beforeLines="50" w:line="360" w:lineRule="auto"/>
        <w:ind w:firstLineChars="200" w:firstLine="482"/>
        <w:outlineLvl w:val="3"/>
        <w:rPr>
          <w:rFonts w:ascii="黑体" w:eastAsia="黑体" w:hAnsi="黑体"/>
          <w:b/>
          <w:color w:val="000000" w:themeColor="text1"/>
          <w:sz w:val="24"/>
          <w:szCs w:val="24"/>
        </w:rPr>
      </w:pPr>
      <w:bookmarkStart w:id="41" w:name="_Toc9124"/>
      <w:r>
        <w:rPr>
          <w:rFonts w:ascii="黑体" w:eastAsia="黑体" w:hAnsi="黑体"/>
          <w:b/>
          <w:color w:val="000000" w:themeColor="text1"/>
          <w:sz w:val="24"/>
          <w:szCs w:val="24"/>
        </w:rPr>
        <w:t>9</w:t>
      </w:r>
      <w:r>
        <w:rPr>
          <w:rFonts w:ascii="黑体" w:eastAsia="黑体" w:hAnsi="黑体" w:hint="eastAsia"/>
          <w:b/>
          <w:color w:val="000000" w:themeColor="text1"/>
          <w:sz w:val="24"/>
          <w:szCs w:val="24"/>
        </w:rPr>
        <w:t>、党组织工作经费审核要点</w:t>
      </w:r>
      <w:bookmarkEnd w:id="41"/>
    </w:p>
    <w:p w:rsidR="00683742" w:rsidRDefault="00F87A27" w:rsidP="007302F8">
      <w:pPr>
        <w:adjustRightInd w:val="0"/>
        <w:snapToGrid w:val="0"/>
        <w:spacing w:beforeLines="50" w:line="360" w:lineRule="auto"/>
        <w:ind w:firstLineChars="150" w:firstLine="360"/>
        <w:rPr>
          <w:rFonts w:ascii="黑体" w:eastAsia="黑体" w:hAnsi="黑体"/>
          <w:color w:val="000000" w:themeColor="text1"/>
          <w:sz w:val="24"/>
          <w:szCs w:val="24"/>
        </w:rPr>
      </w:pPr>
      <w:r>
        <w:rPr>
          <w:rFonts w:ascii="黑体" w:eastAsia="黑体" w:hAnsi="黑体" w:hint="eastAsia"/>
          <w:color w:val="000000" w:themeColor="text1"/>
          <w:sz w:val="24"/>
          <w:szCs w:val="24"/>
        </w:rPr>
        <w:t>（</w:t>
      </w:r>
      <w:r>
        <w:rPr>
          <w:rFonts w:ascii="黑体" w:eastAsia="黑体" w:hAnsi="黑体"/>
          <w:color w:val="000000" w:themeColor="text1"/>
          <w:sz w:val="24"/>
          <w:szCs w:val="24"/>
        </w:rPr>
        <w:t>1</w:t>
      </w:r>
      <w:r>
        <w:rPr>
          <w:rFonts w:ascii="黑体" w:eastAsia="黑体" w:hAnsi="黑体" w:hint="eastAsia"/>
          <w:color w:val="000000" w:themeColor="text1"/>
          <w:sz w:val="24"/>
          <w:szCs w:val="24"/>
        </w:rPr>
        <w:t>）根据企业“管理费用”明细帐，落实党组织工作经费列支范围是否符合税收政策规定，有无其他费用在党组织工作经费中列支；</w:t>
      </w:r>
    </w:p>
    <w:p w:rsidR="00683742" w:rsidRDefault="00F87A27" w:rsidP="007302F8">
      <w:pPr>
        <w:adjustRightInd w:val="0"/>
        <w:snapToGrid w:val="0"/>
        <w:spacing w:beforeLines="50" w:line="360" w:lineRule="auto"/>
        <w:ind w:firstLineChars="150" w:firstLine="360"/>
        <w:rPr>
          <w:rFonts w:ascii="黑体" w:eastAsia="黑体" w:hAnsi="黑体"/>
          <w:color w:val="000000" w:themeColor="text1"/>
          <w:sz w:val="24"/>
          <w:szCs w:val="24"/>
        </w:rPr>
      </w:pPr>
      <w:r>
        <w:rPr>
          <w:rFonts w:ascii="黑体" w:eastAsia="黑体" w:hAnsi="黑体" w:hint="eastAsia"/>
          <w:color w:val="000000" w:themeColor="text1"/>
          <w:sz w:val="24"/>
          <w:szCs w:val="24"/>
        </w:rPr>
        <w:t>（</w:t>
      </w:r>
      <w:r>
        <w:rPr>
          <w:rFonts w:ascii="黑体" w:eastAsia="黑体" w:hAnsi="黑体"/>
          <w:color w:val="000000" w:themeColor="text1"/>
          <w:sz w:val="24"/>
          <w:szCs w:val="24"/>
        </w:rPr>
        <w:t>2</w:t>
      </w:r>
      <w:r>
        <w:rPr>
          <w:rFonts w:ascii="黑体" w:eastAsia="黑体" w:hAnsi="黑体" w:hint="eastAsia"/>
          <w:color w:val="000000" w:themeColor="text1"/>
          <w:sz w:val="24"/>
          <w:szCs w:val="24"/>
        </w:rPr>
        <w:t>）判断企业纳入管理费用的党组织工作经费，实际支出是否超过职工年度工资薪金总额的</w:t>
      </w:r>
      <w:r>
        <w:rPr>
          <w:rFonts w:ascii="黑体" w:eastAsia="黑体" w:hAnsi="黑体"/>
          <w:color w:val="000000" w:themeColor="text1"/>
          <w:sz w:val="24"/>
          <w:szCs w:val="24"/>
        </w:rPr>
        <w:t>1%</w:t>
      </w:r>
      <w:r>
        <w:rPr>
          <w:rFonts w:ascii="黑体" w:eastAsia="黑体" w:hAnsi="黑体" w:hint="eastAsia"/>
          <w:color w:val="000000" w:themeColor="text1"/>
          <w:sz w:val="24"/>
          <w:szCs w:val="24"/>
        </w:rPr>
        <w:t>。</w:t>
      </w:r>
    </w:p>
    <w:p w:rsidR="00683742" w:rsidRDefault="00F87A27" w:rsidP="007302F8">
      <w:pPr>
        <w:adjustRightInd w:val="0"/>
        <w:snapToGrid w:val="0"/>
        <w:spacing w:beforeLines="50" w:line="360" w:lineRule="auto"/>
        <w:ind w:firstLineChars="200" w:firstLine="482"/>
        <w:outlineLvl w:val="3"/>
        <w:rPr>
          <w:rFonts w:ascii="黑体" w:eastAsia="黑体" w:hAnsi="黑体"/>
          <w:b/>
          <w:color w:val="000000" w:themeColor="text1"/>
          <w:sz w:val="24"/>
          <w:szCs w:val="24"/>
        </w:rPr>
      </w:pPr>
      <w:bookmarkStart w:id="42" w:name="_Toc9472"/>
      <w:r>
        <w:rPr>
          <w:rFonts w:ascii="黑体" w:eastAsia="黑体" w:hAnsi="黑体"/>
          <w:b/>
          <w:color w:val="000000" w:themeColor="text1"/>
          <w:sz w:val="24"/>
          <w:szCs w:val="24"/>
        </w:rPr>
        <w:t>10</w:t>
      </w:r>
      <w:r>
        <w:rPr>
          <w:rFonts w:ascii="黑体" w:eastAsia="黑体" w:hAnsi="黑体" w:hint="eastAsia"/>
          <w:b/>
          <w:color w:val="000000" w:themeColor="text1"/>
          <w:sz w:val="24"/>
          <w:szCs w:val="24"/>
        </w:rPr>
        <w:t>、其他扣除类调整项目审核要点</w:t>
      </w:r>
      <w:bookmarkEnd w:id="42"/>
    </w:p>
    <w:p w:rsidR="00683742" w:rsidRDefault="00F87A27" w:rsidP="007302F8">
      <w:pPr>
        <w:adjustRightInd w:val="0"/>
        <w:snapToGrid w:val="0"/>
        <w:spacing w:beforeLines="50" w:line="360" w:lineRule="auto"/>
        <w:ind w:firstLineChars="150" w:firstLine="360"/>
        <w:rPr>
          <w:rFonts w:ascii="黑体" w:eastAsia="黑体" w:hAnsi="黑体"/>
          <w:color w:val="000000" w:themeColor="text1"/>
          <w:sz w:val="24"/>
          <w:szCs w:val="24"/>
        </w:rPr>
      </w:pPr>
      <w:r>
        <w:rPr>
          <w:rFonts w:ascii="黑体" w:eastAsia="黑体" w:hAnsi="黑体" w:hint="eastAsia"/>
          <w:color w:val="000000" w:themeColor="text1"/>
          <w:sz w:val="24"/>
          <w:szCs w:val="24"/>
        </w:rPr>
        <w:t>（</w:t>
      </w:r>
      <w:r>
        <w:rPr>
          <w:rFonts w:ascii="黑体" w:eastAsia="黑体" w:hAnsi="黑体"/>
          <w:color w:val="000000" w:themeColor="text1"/>
          <w:sz w:val="24"/>
          <w:szCs w:val="24"/>
        </w:rPr>
        <w:t>1</w:t>
      </w:r>
      <w:r>
        <w:rPr>
          <w:rFonts w:ascii="黑体" w:eastAsia="黑体" w:hAnsi="黑体" w:hint="eastAsia"/>
          <w:color w:val="000000" w:themeColor="text1"/>
          <w:sz w:val="24"/>
          <w:szCs w:val="24"/>
        </w:rPr>
        <w:t>）了解企业是否存在以“无抬头发票”、“抬头名称不是本企业发票”、</w:t>
      </w:r>
      <w:r>
        <w:rPr>
          <w:rFonts w:ascii="黑体" w:eastAsia="黑体" w:hAnsi="黑体"/>
          <w:color w:val="000000" w:themeColor="text1"/>
          <w:sz w:val="24"/>
          <w:szCs w:val="24"/>
        </w:rPr>
        <w:t xml:space="preserve"> </w:t>
      </w:r>
      <w:r>
        <w:rPr>
          <w:rFonts w:ascii="黑体" w:eastAsia="黑体" w:hAnsi="黑体" w:hint="eastAsia"/>
          <w:color w:val="000000" w:themeColor="text1"/>
          <w:sz w:val="24"/>
          <w:szCs w:val="24"/>
        </w:rPr>
        <w:t>“以前年度发票”、“填写项目不齐全，内容不真实，字迹不清楚，没有加盖财务印章或发票专用章的发票”、“没有填开付款方全称的发票”</w:t>
      </w:r>
      <w:r>
        <w:rPr>
          <w:rFonts w:ascii="黑体" w:eastAsia="黑体" w:hAnsi="黑体"/>
          <w:color w:val="000000" w:themeColor="text1"/>
          <w:sz w:val="24"/>
          <w:szCs w:val="24"/>
        </w:rPr>
        <w:t xml:space="preserve"> </w:t>
      </w:r>
      <w:r>
        <w:rPr>
          <w:rFonts w:ascii="黑体" w:eastAsia="黑体" w:hAnsi="黑体" w:hint="eastAsia"/>
          <w:color w:val="000000" w:themeColor="text1"/>
          <w:sz w:val="24"/>
          <w:szCs w:val="24"/>
        </w:rPr>
        <w:t>、“非法代开发票”、“假发票”、“伪造或作废的发票”、“应经而未经税务机关监制的发票”</w:t>
      </w:r>
      <w:r>
        <w:rPr>
          <w:rFonts w:ascii="黑体" w:eastAsia="黑体" w:hAnsi="黑体"/>
          <w:color w:val="000000" w:themeColor="text1"/>
          <w:sz w:val="24"/>
          <w:szCs w:val="24"/>
        </w:rPr>
        <w:t xml:space="preserve"> </w:t>
      </w:r>
      <w:r>
        <w:rPr>
          <w:rFonts w:ascii="黑体" w:eastAsia="黑体" w:hAnsi="黑体" w:hint="eastAsia"/>
          <w:color w:val="000000" w:themeColor="text1"/>
          <w:sz w:val="24"/>
          <w:szCs w:val="24"/>
        </w:rPr>
        <w:t>及白条等为依据列支成本的行为。</w:t>
      </w:r>
    </w:p>
    <w:p w:rsidR="00683742" w:rsidRDefault="00F87A27" w:rsidP="007302F8">
      <w:pPr>
        <w:adjustRightInd w:val="0"/>
        <w:snapToGrid w:val="0"/>
        <w:spacing w:beforeLines="50" w:line="360" w:lineRule="auto"/>
        <w:ind w:firstLineChars="150" w:firstLine="360"/>
        <w:rPr>
          <w:rFonts w:ascii="黑体" w:eastAsia="黑体" w:hAnsi="黑体"/>
          <w:color w:val="000000" w:themeColor="text1"/>
          <w:sz w:val="24"/>
          <w:szCs w:val="24"/>
        </w:rPr>
      </w:pPr>
      <w:r>
        <w:rPr>
          <w:rFonts w:ascii="黑体" w:eastAsia="黑体" w:hAnsi="黑体" w:hint="eastAsia"/>
          <w:color w:val="000000" w:themeColor="text1"/>
          <w:sz w:val="24"/>
          <w:szCs w:val="24"/>
        </w:rPr>
        <w:t>（</w:t>
      </w:r>
      <w:r>
        <w:rPr>
          <w:rFonts w:ascii="黑体" w:eastAsia="黑体" w:hAnsi="黑体"/>
          <w:color w:val="000000" w:themeColor="text1"/>
          <w:sz w:val="24"/>
          <w:szCs w:val="24"/>
        </w:rPr>
        <w:t>2</w:t>
      </w:r>
      <w:r>
        <w:rPr>
          <w:rFonts w:ascii="黑体" w:eastAsia="黑体" w:hAnsi="黑体" w:hint="eastAsia"/>
          <w:color w:val="000000" w:themeColor="text1"/>
          <w:sz w:val="24"/>
          <w:szCs w:val="24"/>
        </w:rPr>
        <w:t>）查看“管理费用”、“销售费用”明细帐，抽取相关凭证，审核有无存在以“无抬头发票”、“抬头名称不是本企业发票”、</w:t>
      </w:r>
      <w:r>
        <w:rPr>
          <w:rFonts w:ascii="黑体" w:eastAsia="黑体" w:hAnsi="黑体"/>
          <w:color w:val="000000" w:themeColor="text1"/>
          <w:sz w:val="24"/>
          <w:szCs w:val="24"/>
        </w:rPr>
        <w:t xml:space="preserve"> </w:t>
      </w:r>
      <w:r>
        <w:rPr>
          <w:rFonts w:ascii="黑体" w:eastAsia="黑体" w:hAnsi="黑体" w:hint="eastAsia"/>
          <w:color w:val="000000" w:themeColor="text1"/>
          <w:sz w:val="24"/>
          <w:szCs w:val="24"/>
        </w:rPr>
        <w:t>“以前年度发票”、“填写项目不齐全，内容不真实，字迹不清楚，没有加盖财务印章或发票专用章的发票”、“没有填开付款方全称的发票”</w:t>
      </w:r>
      <w:r>
        <w:rPr>
          <w:rFonts w:ascii="黑体" w:eastAsia="黑体" w:hAnsi="黑体"/>
          <w:color w:val="000000" w:themeColor="text1"/>
          <w:sz w:val="24"/>
          <w:szCs w:val="24"/>
        </w:rPr>
        <w:t xml:space="preserve"> </w:t>
      </w:r>
      <w:r>
        <w:rPr>
          <w:rFonts w:ascii="黑体" w:eastAsia="黑体" w:hAnsi="黑体" w:hint="eastAsia"/>
          <w:color w:val="000000" w:themeColor="text1"/>
          <w:sz w:val="24"/>
          <w:szCs w:val="24"/>
        </w:rPr>
        <w:t>、“非法代开发票”、“假发票”、“伪造或作废的发票”、“应经而未经税务机关监制的发票”</w:t>
      </w:r>
      <w:r>
        <w:rPr>
          <w:rFonts w:ascii="黑体" w:eastAsia="黑体" w:hAnsi="黑体"/>
          <w:color w:val="000000" w:themeColor="text1"/>
          <w:sz w:val="24"/>
          <w:szCs w:val="24"/>
        </w:rPr>
        <w:t xml:space="preserve"> </w:t>
      </w:r>
      <w:r>
        <w:rPr>
          <w:rFonts w:ascii="黑体" w:eastAsia="黑体" w:hAnsi="黑体" w:hint="eastAsia"/>
          <w:color w:val="000000" w:themeColor="text1"/>
          <w:sz w:val="24"/>
          <w:szCs w:val="24"/>
        </w:rPr>
        <w:t>及白条等为依据列支成本；</w:t>
      </w:r>
    </w:p>
    <w:p w:rsidR="00683742" w:rsidRDefault="00F87A27" w:rsidP="007302F8">
      <w:pPr>
        <w:adjustRightInd w:val="0"/>
        <w:snapToGrid w:val="0"/>
        <w:spacing w:beforeLines="50" w:line="360" w:lineRule="auto"/>
        <w:ind w:firstLineChars="150" w:firstLine="360"/>
        <w:rPr>
          <w:rFonts w:ascii="黑体" w:eastAsia="黑体" w:hAnsi="黑体"/>
          <w:color w:val="000000" w:themeColor="text1"/>
          <w:sz w:val="24"/>
          <w:szCs w:val="24"/>
        </w:rPr>
      </w:pPr>
      <w:r>
        <w:rPr>
          <w:rFonts w:ascii="黑体" w:eastAsia="黑体" w:hAnsi="黑体" w:hint="eastAsia"/>
          <w:color w:val="000000" w:themeColor="text1"/>
          <w:sz w:val="24"/>
          <w:szCs w:val="24"/>
        </w:rPr>
        <w:t>（</w:t>
      </w:r>
      <w:r>
        <w:rPr>
          <w:rFonts w:ascii="黑体" w:eastAsia="黑体" w:hAnsi="黑体"/>
          <w:color w:val="000000" w:themeColor="text1"/>
          <w:sz w:val="24"/>
          <w:szCs w:val="24"/>
        </w:rPr>
        <w:t>3</w:t>
      </w:r>
      <w:r>
        <w:rPr>
          <w:rFonts w:ascii="黑体" w:eastAsia="黑体" w:hAnsi="黑体" w:hint="eastAsia"/>
          <w:color w:val="000000" w:themeColor="text1"/>
          <w:sz w:val="24"/>
          <w:szCs w:val="24"/>
        </w:rPr>
        <w:t>）了解上述支出的性质及发生的原因。</w:t>
      </w:r>
    </w:p>
    <w:p w:rsidR="00683742" w:rsidRDefault="00F87A27" w:rsidP="007302F8">
      <w:pPr>
        <w:pStyle w:val="a7"/>
        <w:adjustRightInd w:val="0"/>
        <w:snapToGrid w:val="0"/>
        <w:spacing w:beforeLines="50" w:line="360" w:lineRule="auto"/>
        <w:jc w:val="both"/>
        <w:outlineLvl w:val="1"/>
        <w:rPr>
          <w:rFonts w:ascii="黑体" w:eastAsia="黑体" w:hAnsi="黑体"/>
          <w:b/>
          <w:color w:val="000000" w:themeColor="text1"/>
        </w:rPr>
      </w:pPr>
      <w:bookmarkStart w:id="43" w:name="_Toc8929"/>
      <w:r>
        <w:rPr>
          <w:rFonts w:ascii="黑体" w:eastAsia="黑体" w:hAnsi="黑体" w:hint="eastAsia"/>
          <w:b/>
          <w:color w:val="000000" w:themeColor="text1"/>
        </w:rPr>
        <w:t>第六部分：营业外收支及其他项目审核要点</w:t>
      </w:r>
      <w:bookmarkEnd w:id="43"/>
    </w:p>
    <w:p w:rsidR="00683742" w:rsidRDefault="00F87A27" w:rsidP="007302F8">
      <w:pPr>
        <w:pStyle w:val="a7"/>
        <w:adjustRightInd w:val="0"/>
        <w:snapToGrid w:val="0"/>
        <w:spacing w:beforeLines="50" w:line="360" w:lineRule="auto"/>
        <w:ind w:firstLineChars="200" w:firstLine="482"/>
        <w:jc w:val="both"/>
        <w:outlineLvl w:val="2"/>
        <w:rPr>
          <w:rFonts w:ascii="黑体" w:eastAsia="黑体" w:hAnsi="黑体"/>
          <w:b/>
          <w:bCs/>
          <w:color w:val="000000" w:themeColor="text1"/>
        </w:rPr>
      </w:pPr>
      <w:bookmarkStart w:id="44" w:name="_Toc785"/>
      <w:r>
        <w:rPr>
          <w:rFonts w:ascii="黑体" w:eastAsia="黑体" w:hAnsi="黑体" w:hint="eastAsia"/>
          <w:b/>
          <w:bCs/>
          <w:color w:val="000000" w:themeColor="text1"/>
        </w:rPr>
        <w:t>一、营业外收入的</w:t>
      </w:r>
      <w:bookmarkEnd w:id="44"/>
      <w:r w:rsidR="0029680A">
        <w:rPr>
          <w:rFonts w:ascii="黑体" w:eastAsia="黑体" w:hAnsi="黑体" w:hint="eastAsia"/>
          <w:b/>
          <w:color w:val="000000" w:themeColor="text1"/>
        </w:rPr>
        <w:t>审核要点</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 xml:space="preserve">1、检查营业外收入明细表是否与财务报表数、总账数及明细账合计数核对相符。查明入账是否及时，有无错记、漏记、多记等情况 。  </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lastRenderedPageBreak/>
        <w:t>2、检查营业外收入项目的设置是否符合会计制度的规定，有无与资本性支出、营业性支出相混淆的情况。</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3、检查非流动资产处置利得：检查非流动资产处置审批表等原始凭证，固定资产的处置利得是否和固定资产清理审定结转的贷方余额数核对一致。</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4、检查非货币性资产交换利得：查阅非货币性资产交换协议、审批表等原始凭证，审核其内容的真实性和依据的充分性，检查会计处理符合相关规定。</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5、检查债务重组利得：查阅债务重组协议、审批表等原始凭证，审核其内容的真实性和依据的充分性，检查会计处理是否符合相关规定。</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6、检查政府补助：审核各项政府补助的批准文件，是否与企业日常活动无关。</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7、检查盘盈利得：查阅盘点、监盘资料和处置审批单，检查金额核算正确，审核其内容的真实性和依据的充分性，检查会计处理符合相关规定。</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8、捐赠利得，检查相关的捐赠协议、银行进账单等原始凭证，复核相应的税金是否提取，金额核算及账务处理是否正确。</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9、检查其他营业外收入，审核人员要弄清“其他“的核算内容，检查银行进账单或现金收据等原始凭证，检查入账金额及会计处理是否正确。</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10、企业在不同交易中形成的非流动资产毁损报废利得和损失不得相互抵销，应分别在“营业外收入”项目和“营业外支出”项目进行填列。</w:t>
      </w:r>
    </w:p>
    <w:p w:rsidR="00683742" w:rsidRDefault="00F87A27" w:rsidP="007302F8">
      <w:pPr>
        <w:pStyle w:val="a7"/>
        <w:adjustRightInd w:val="0"/>
        <w:snapToGrid w:val="0"/>
        <w:spacing w:beforeLines="50" w:line="360" w:lineRule="auto"/>
        <w:ind w:firstLineChars="200" w:firstLine="482"/>
        <w:jc w:val="both"/>
        <w:outlineLvl w:val="2"/>
        <w:rPr>
          <w:rFonts w:ascii="黑体" w:eastAsia="黑体" w:hAnsi="黑体"/>
          <w:b/>
          <w:bCs/>
          <w:color w:val="000000" w:themeColor="text1"/>
        </w:rPr>
      </w:pPr>
      <w:bookmarkStart w:id="45" w:name="_Toc30198"/>
      <w:r>
        <w:rPr>
          <w:rFonts w:ascii="黑体" w:eastAsia="黑体" w:hAnsi="黑体" w:hint="eastAsia"/>
          <w:b/>
          <w:bCs/>
          <w:color w:val="000000" w:themeColor="text1"/>
        </w:rPr>
        <w:t>二、营业外支出</w:t>
      </w:r>
      <w:bookmarkEnd w:id="45"/>
      <w:r w:rsidR="0029680A">
        <w:rPr>
          <w:rFonts w:ascii="黑体" w:eastAsia="黑体" w:hAnsi="黑体" w:hint="eastAsia"/>
          <w:b/>
          <w:color w:val="000000" w:themeColor="text1"/>
        </w:rPr>
        <w:t>审核要点</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（一）审核营业外支出是否涉及下列不可在税前列支项目</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1、违法经营的罚款和被没收财物损失。</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2、各种税收的滞纳金、罚款和罚金。</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3、自然灾害或者意外事故损失的有赔偿部分。</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4、用于中国境内公益性、救济性质以外的捐赠及直接捐赠支出。</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5、各项非广告性赞助支出。</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lastRenderedPageBreak/>
        <w:t>6、债务人或者担保人有经济偿还能力，未按期偿还的企业债权；企业未向债务人和担保人追偿的债权；企业发生非经营性债权等不得作为损失在税前扣除。</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7、与生产经营无关的其他各项支出</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（二）审核营业外支出是否按税法规定准予税前扣除</w:t>
      </w:r>
    </w:p>
    <w:p w:rsidR="00683742" w:rsidRDefault="00F87A27" w:rsidP="007302F8">
      <w:pPr>
        <w:pStyle w:val="a7"/>
        <w:adjustRightInd w:val="0"/>
        <w:snapToGrid w:val="0"/>
        <w:spacing w:beforeLines="50" w:line="384"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1、审核固定资产、在建工程、流动资产非正常盘亏、毁损、报废的净损失是否减除责任人赔偿、保险赔偿后的余额；内部责任认定、鉴定材料及赔偿情况说明等是否齐备；损失金额较大或自然灾害等不可抗力造成的固定资产损毁、报废的，是否有专业技术鉴定意见或法定资质中介机构出具的专项报告。</w:t>
      </w:r>
    </w:p>
    <w:p w:rsidR="00683742" w:rsidRDefault="00F87A27" w:rsidP="007302F8">
      <w:pPr>
        <w:pStyle w:val="a7"/>
        <w:adjustRightInd w:val="0"/>
        <w:snapToGrid w:val="0"/>
        <w:spacing w:beforeLines="50" w:line="384"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2、企业处置固定资产或无形资产损失，固定资产或无形资产是否已达到或超过使用年限，检查企业固定资产台账、原始凭证等。</w:t>
      </w:r>
    </w:p>
    <w:p w:rsidR="00683742" w:rsidRDefault="00F87A27" w:rsidP="007302F8">
      <w:pPr>
        <w:pStyle w:val="a7"/>
        <w:adjustRightInd w:val="0"/>
        <w:snapToGrid w:val="0"/>
        <w:spacing w:beforeLines="50" w:line="384"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3、审核捐赠是否在名单所属年度内向名单内的公益性社会团体进行的公益性捐赠支出，是否取得省级以上（含省级）财政部门印制并加盖接受捐赠单位印章的公益性捐赠票据；通过县级以上人民政府及其组成部门和直属机构进行的公益性捐赠支出，是否取得加盖接受捐赠单位印章的《非税收入一般缴款书》收据联；捐赠数额是否超过税法规定限额。</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4、审核扶贫支出是否通过公益性社会组织或者县级（含县级）以上人民政府及其组成部门和直属机构，用于目标脱贫地区的扶贫捐赠支出。</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5、审核坏账损失，企业是否已按税法规定准备符合税法要求的相关资料。</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6、审核大额营业外支出原始凭证是否齐全，是否符合税前扣除规定的要求。</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7、抽查金额较大的营业外支出项目，验证其按税法规定税前扣除的金额。</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8、审核营业外支出是否涉及将自产、委托加工、购买的货物赠送他人等视同销售行为是否缴纳相关税金。</w:t>
      </w:r>
    </w:p>
    <w:p w:rsidR="00683742" w:rsidRDefault="00F87A27" w:rsidP="007302F8">
      <w:pPr>
        <w:pStyle w:val="a7"/>
        <w:adjustRightInd w:val="0"/>
        <w:snapToGrid w:val="0"/>
        <w:spacing w:beforeLines="50" w:line="360" w:lineRule="auto"/>
        <w:ind w:firstLineChars="200" w:firstLine="482"/>
        <w:jc w:val="both"/>
        <w:outlineLvl w:val="2"/>
        <w:rPr>
          <w:rFonts w:ascii="黑体" w:eastAsia="黑体" w:hAnsi="黑体"/>
          <w:b/>
          <w:bCs/>
          <w:color w:val="000000" w:themeColor="text1"/>
        </w:rPr>
      </w:pPr>
      <w:bookmarkStart w:id="46" w:name="_Toc16408"/>
      <w:r>
        <w:rPr>
          <w:rFonts w:ascii="黑体" w:eastAsia="黑体" w:hAnsi="黑体" w:hint="eastAsia"/>
          <w:b/>
          <w:bCs/>
          <w:color w:val="000000" w:themeColor="text1"/>
        </w:rPr>
        <w:t>三、研发费用的</w:t>
      </w:r>
      <w:bookmarkEnd w:id="46"/>
      <w:r w:rsidR="0029680A">
        <w:rPr>
          <w:rFonts w:ascii="黑体" w:eastAsia="黑体" w:hAnsi="黑体" w:hint="eastAsia"/>
          <w:b/>
          <w:color w:val="000000" w:themeColor="text1"/>
        </w:rPr>
        <w:t>审核要点</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（一）检查被审核企业是否不属于不适用税前加计扣除政策的行业，即研发费用发生当年的主营业务收入占企业按税法第六条规定核算的收入总额减除不</w:t>
      </w:r>
      <w:r>
        <w:rPr>
          <w:rFonts w:ascii="黑体" w:eastAsia="黑体" w:hAnsi="黑体" w:hint="eastAsia"/>
          <w:color w:val="000000" w:themeColor="text1"/>
        </w:rPr>
        <w:lastRenderedPageBreak/>
        <w:t>征税收入和投资收益的余额50%（不含）以上的企业。</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不适用税前加计扣除政策的行业：</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1、烟草制造业；</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2、住宿和餐饮业；</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3、批发和零售业；</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4、房地产业；</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5、租赁和商务服务业；</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6、娱乐业；</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7、财政部和国家税务总局规定的其他行业。</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（二）检查被审核单位的研发活动是否未包括在不能税前加计扣除政策范围内。</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下列活动不适用税前加计扣除政策：</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1、企业产品（服务）的常规性升级；</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2、对某项科研成果的直接应用，如直接采用公开的新工艺、材料、装置、产品、服务或知识等；</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3、企业在商品化后为顾客提供的技术支持活动；</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4、对现存产品、服务、技术、材料或工艺流程进行的重复或简单改变；</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5、市场调查研究、效率调查或管理研究；</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6、作为工业（服务）流程环节或常规的质量控制、测试分析、维修维护；</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7、社会科学、艺术或人文学方面的研究。</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（三）研发费用审核</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1、核实企业是否设有专门研发部门，如未设立专门的研发机构或虽设立但同时承担生产经营任务的，查阅其研发费用和生产经营费用是否分开进行核算，</w:t>
      </w:r>
      <w:r>
        <w:rPr>
          <w:rFonts w:ascii="黑体" w:eastAsia="黑体" w:hAnsi="黑体" w:hint="eastAsia"/>
          <w:color w:val="000000" w:themeColor="text1"/>
        </w:rPr>
        <w:lastRenderedPageBreak/>
        <w:t>各项研究开发费用的支出是否进行准确、合理的核算，对划分不清的，不得实行加计扣除。</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2、查看企业立项情况，看企业一个纳税年度内是否有多个研究开发活动，核实企业多个项目是否进行了分别归集。</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3、查阅企业是否存在需要由集团公司进行集中开发的研究开发项目，各受益集团成员是否按规定签订了研发费的分摊协议，协议确定的分摊方法和金额是否符合权利和义务、费用支出和收益分享一致的原则。</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4、查阅“研发费用”科目，确定企业发生的相关研发费用是否与科研活动直接相关，是否按规定取得合法有效票据。</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（四）研发费加计扣除的认定</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1、审核企业是否符合技术开发费加计扣除规定的范围和条件，所需的相关文件和证明材料是否有效、齐全。</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2、审核企业申报技术开发费加计扣除所需报送有关文件和证明材料，是否符合税务机关管理的有关要求。</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3、审核技术开发费的归集和核算是否符合税法及其有关规定，技术开发费加计扣除金额的核算是否准确。</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（五）研发费用加计扣除的审核要点</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1、了解企业的业务流程。在进行企业所得税汇算审核前，需要对企业的组织架构、生产特点、业务流程等事项进行考察，弄清企业是否有研发部门以及该企业的研发工艺、研发产品等内容。</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2、收集整理资料。研发费用的审核需要企业提供如下资料：（一）自主、委托、合作研究开发项目计划书和研究开发费预算。（二）自主、委托、合作研究开发专门机构或项目组的编制情况和专业人员名单。（三）自主、委托、合作研究开发项目当年研究开发费用发生情况归集表。（四）企业总经理办公会或董事会关于自主、委托、合作研究开发项目立项的决议文件。（五）委托、合作研究开发项目的合同或协议。（六）研究开发项目的效用情况说明、研究成果报告</w:t>
      </w:r>
      <w:r>
        <w:rPr>
          <w:rFonts w:ascii="黑体" w:eastAsia="黑体" w:hAnsi="黑体" w:hint="eastAsia"/>
          <w:color w:val="000000" w:themeColor="text1"/>
        </w:rPr>
        <w:lastRenderedPageBreak/>
        <w:t>等资料。</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3、对每个归集的项目进行详细审核。</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（1）材料、燃料和动力费用。从事研发活动直接消耗的材料、燃料和动力费用可以税前扣除并可以加计扣除。</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2）工资、薪金、奖金、津贴、补贴。在职直接从事研发活动人员的工资、薪金、奖金、津贴、补贴，可以税前扣除并可以加计扣除。在审核加计扣除时，要将工资发放的名单与企业提供的研发部门人员的名单仔细核对，对于没有在研发部门人员名单的人员工资，不可以进行加计扣除。</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3）仪器、机器的折旧费或租赁费。企业发生的设备折旧和租赁费，如果按税法规定的折旧年限和用途计量，一般都可以税前列支，但并不是所有的折旧和租赁费都可以加计扣除，只有专用于研发活动的仪器、设备的折旧费和租赁费才可进行加计扣除。</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4）其他费用的审核。专门用于研发活动的软件、专利费、非专利技术等无形资产的摊销费用、专门用于中间试验和产品试制的模具、工艺装备开发及制造费，可以税前扣除并加计扣除。另外，新产品设计费，新工艺规程制定费以及与研发活动直接相关的技术图书资料费、资料翻译费、勘探开发技术的现场试验费，研发成果的论证、评审、验收费用，同样可以所得税税前扣除并加计扣除。</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5）委托给外单位进行开发的研发费用。如果企业只取得委托外单位开发的研发费用的发票，那么只能税前扣除而不能享受加计扣除。应重点审核与委托研发单位签订的委托研发合同，并核查委托单位是否进行备案。</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（6）对企业共同合作开发的项目，应根据合同规定，由合作各方就自身承担的研发费用分别按照规定核算加计扣除。</w:t>
      </w:r>
    </w:p>
    <w:p w:rsidR="00683742" w:rsidRDefault="00F87A27" w:rsidP="007302F8">
      <w:pPr>
        <w:pStyle w:val="a7"/>
        <w:adjustRightInd w:val="0"/>
        <w:snapToGrid w:val="0"/>
        <w:spacing w:beforeLines="50" w:line="360" w:lineRule="auto"/>
        <w:ind w:firstLineChars="200" w:firstLine="482"/>
        <w:jc w:val="both"/>
        <w:outlineLvl w:val="2"/>
        <w:rPr>
          <w:rFonts w:ascii="黑体" w:eastAsia="黑体" w:hAnsi="黑体"/>
          <w:b/>
          <w:bCs/>
          <w:color w:val="000000" w:themeColor="text1"/>
        </w:rPr>
      </w:pPr>
      <w:bookmarkStart w:id="47" w:name="_Toc8627"/>
      <w:r>
        <w:rPr>
          <w:rFonts w:ascii="黑体" w:eastAsia="黑体" w:hAnsi="黑体" w:hint="eastAsia"/>
          <w:b/>
          <w:bCs/>
          <w:color w:val="000000" w:themeColor="text1"/>
        </w:rPr>
        <w:t>四、税金及附加</w:t>
      </w:r>
      <w:bookmarkEnd w:id="47"/>
      <w:r w:rsidR="0029680A">
        <w:rPr>
          <w:rFonts w:ascii="黑体" w:eastAsia="黑体" w:hAnsi="黑体" w:hint="eastAsia"/>
          <w:b/>
          <w:color w:val="000000" w:themeColor="text1"/>
        </w:rPr>
        <w:t>审核要点</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1、获取或编制税金及附加明细表、完税凭证及税收优惠备案等资料，复核加计是否正确，并与报表数、总账数和明细账合计数核对是否相符。</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2、根据审定的本期应税消费品销售额（或数量），按规定适用的税率，分</w:t>
      </w:r>
      <w:r>
        <w:rPr>
          <w:rFonts w:ascii="黑体" w:eastAsia="黑体" w:hAnsi="黑体" w:hint="eastAsia"/>
          <w:color w:val="000000" w:themeColor="text1"/>
        </w:rPr>
        <w:lastRenderedPageBreak/>
        <w:t>项核算、复核本期应纳消费税税额，检查会计处理是否正确。</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3、根据审定的本期应纳资源税产品的课税数量，按规定适用的单位税额，核算、复核本期应纳资源税税额，检查会计处理是否正确。</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4、取得增值税纳税申报表及消费税纳税申报表，检查城市维护建设税、教育费附加等项目的核算依据是否和本期应纳增值税、消费税合计数一致，并按规定适用的税率或费率核算、复核本期应纳城建税、教育费附加及地方缴费附加，检查会计处理是否正确。</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5、检查印花税相关合同、协议等是否属于“印花税税目税率表附件”所列征税范围，相关税率适用是否正确。</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6、房产税，检查按房产余值作为计税依据的，检查房产原值是否已包括了取得土地使用权支付的价款、开发土地发生的成本费用、与房屋不可分割的各种附属设备或一般不单独核算价值的配套设施等；房屋租金为计税依据的，检查租赁合同、协议、预收租金等，是否按规定缴纳房产税。</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7、城镇土地使用税，检查房产证、国有土地使用证等，复核城镇土地使用税用地面积、税率适用等是否正确。</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8、车船税，获取被审核单位车辆行驶证和车辆统计台账，根据车辆用途复核车船税计算是否正确。</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9、土地增值税：检查应交土地增值税的核算是否正确，是否按规定进行了会计处理：（1）根据审定的预售房地产的预收账款，复核预交税款是否准确；（2）对符合项目清算条件的房地产开发项目，检查被审核单位是否按规定进行土地增值税清算；如果被审核单位已聘请中介机构办理土地增值税清算鉴证的，应检查、核对相关鉴证报告；（3）如果被审核单位被主管税务机关核定征收土地增值税的，应检查、核对相关的手续。</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10、检查是否有查补以前年度税金加计本年事项。</w:t>
      </w:r>
    </w:p>
    <w:p w:rsidR="00683742" w:rsidRDefault="00F87A27" w:rsidP="007302F8">
      <w:pPr>
        <w:pStyle w:val="a7"/>
        <w:adjustRightInd w:val="0"/>
        <w:snapToGrid w:val="0"/>
        <w:spacing w:beforeLines="50" w:line="360" w:lineRule="auto"/>
        <w:ind w:firstLineChars="200" w:firstLine="482"/>
        <w:jc w:val="both"/>
        <w:outlineLvl w:val="2"/>
        <w:rPr>
          <w:rFonts w:ascii="黑体" w:eastAsia="黑体" w:hAnsi="黑体"/>
          <w:b/>
          <w:bCs/>
          <w:color w:val="000000" w:themeColor="text1"/>
        </w:rPr>
      </w:pPr>
      <w:bookmarkStart w:id="48" w:name="_Toc909"/>
      <w:r>
        <w:rPr>
          <w:rFonts w:ascii="黑体" w:eastAsia="黑体" w:hAnsi="黑体" w:hint="eastAsia"/>
          <w:b/>
          <w:bCs/>
          <w:color w:val="000000" w:themeColor="text1"/>
        </w:rPr>
        <w:t>五、其他收益</w:t>
      </w:r>
      <w:bookmarkEnd w:id="48"/>
      <w:r w:rsidR="0029680A">
        <w:rPr>
          <w:rFonts w:ascii="黑体" w:eastAsia="黑体" w:hAnsi="黑体" w:hint="eastAsia"/>
          <w:b/>
          <w:color w:val="000000" w:themeColor="text1"/>
        </w:rPr>
        <w:t>审核要点</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1、个人所得税扣缴税款手续费，检查银行存款、其他应付款等账户，是否</w:t>
      </w:r>
      <w:r>
        <w:rPr>
          <w:rFonts w:ascii="黑体" w:eastAsia="黑体" w:hAnsi="黑体" w:hint="eastAsia"/>
          <w:color w:val="000000" w:themeColor="text1"/>
        </w:rPr>
        <w:lastRenderedPageBreak/>
        <w:t>未加计“其他收益”项。</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2、即征即退增值税款，检查银行存款、应交税费科目，是否未加计“其他收益”项。</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3、 加计抵减，检查企业是否属于“生产、生活性服务业纳税人”，复核可抵扣进项税额核算是否正确。</w:t>
      </w:r>
    </w:p>
    <w:p w:rsidR="00683742" w:rsidRDefault="00F87A27" w:rsidP="007302F8">
      <w:pPr>
        <w:pStyle w:val="a7"/>
        <w:adjustRightInd w:val="0"/>
        <w:snapToGrid w:val="0"/>
        <w:spacing w:beforeLines="50" w:line="360" w:lineRule="auto"/>
        <w:ind w:firstLineChars="200" w:firstLine="482"/>
        <w:jc w:val="both"/>
        <w:outlineLvl w:val="2"/>
        <w:rPr>
          <w:rFonts w:ascii="黑体" w:eastAsia="黑体" w:hAnsi="黑体"/>
          <w:b/>
          <w:bCs/>
          <w:color w:val="000000" w:themeColor="text1"/>
        </w:rPr>
      </w:pPr>
      <w:bookmarkStart w:id="49" w:name="_Toc13809"/>
      <w:r>
        <w:rPr>
          <w:rFonts w:ascii="黑体" w:eastAsia="黑体" w:hAnsi="黑体" w:hint="eastAsia"/>
          <w:b/>
          <w:bCs/>
          <w:color w:val="000000" w:themeColor="text1"/>
        </w:rPr>
        <w:t>六、资产减值损失审核要点</w:t>
      </w:r>
      <w:bookmarkEnd w:id="49"/>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被审核单位是否属于财政部和国家税务总局核准计提准备金的单位（行业），如不属于，则当年核提的资产减值准备不得税前扣除。</w:t>
      </w:r>
    </w:p>
    <w:p w:rsidR="00683742" w:rsidRDefault="00F87A27" w:rsidP="007302F8">
      <w:pPr>
        <w:pStyle w:val="a7"/>
        <w:adjustRightInd w:val="0"/>
        <w:snapToGrid w:val="0"/>
        <w:spacing w:beforeLines="50" w:line="360" w:lineRule="auto"/>
        <w:ind w:firstLineChars="200" w:firstLine="482"/>
        <w:jc w:val="both"/>
        <w:outlineLvl w:val="2"/>
        <w:rPr>
          <w:rFonts w:ascii="黑体" w:eastAsia="黑体" w:hAnsi="黑体"/>
          <w:b/>
          <w:bCs/>
          <w:color w:val="000000" w:themeColor="text1"/>
        </w:rPr>
      </w:pPr>
      <w:bookmarkStart w:id="50" w:name="_Toc4897"/>
      <w:r>
        <w:rPr>
          <w:rFonts w:ascii="黑体" w:eastAsia="黑体" w:hAnsi="黑体" w:hint="eastAsia"/>
          <w:b/>
          <w:bCs/>
          <w:color w:val="000000" w:themeColor="text1"/>
        </w:rPr>
        <w:t>七、资产处置收益</w:t>
      </w:r>
      <w:bookmarkEnd w:id="50"/>
      <w:r w:rsidR="0029680A">
        <w:rPr>
          <w:rFonts w:ascii="黑体" w:eastAsia="黑体" w:hAnsi="黑体" w:hint="eastAsia"/>
          <w:b/>
          <w:color w:val="000000" w:themeColor="text1"/>
        </w:rPr>
        <w:t>审核程序及审核要点</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检查资产处置审批表、银行进账单、合同、协议和原始记账凭证等资料，复核处置收益或损失数据是否正确，并与报表数、总账数和明细账合计数核对是否相符。</w:t>
      </w:r>
    </w:p>
    <w:p w:rsidR="00683742" w:rsidRDefault="00F87A27" w:rsidP="007302F8">
      <w:pPr>
        <w:pStyle w:val="a7"/>
        <w:adjustRightInd w:val="0"/>
        <w:snapToGrid w:val="0"/>
        <w:spacing w:beforeLines="50" w:line="360" w:lineRule="auto"/>
        <w:jc w:val="both"/>
        <w:outlineLvl w:val="1"/>
        <w:rPr>
          <w:rFonts w:ascii="黑体" w:eastAsia="黑体" w:hAnsi="黑体"/>
          <w:b/>
          <w:color w:val="000000" w:themeColor="text1"/>
        </w:rPr>
      </w:pPr>
      <w:bookmarkStart w:id="51" w:name="_Toc27115"/>
      <w:r>
        <w:rPr>
          <w:rFonts w:ascii="黑体" w:eastAsia="黑体" w:hAnsi="黑体" w:hint="eastAsia"/>
          <w:b/>
          <w:color w:val="000000" w:themeColor="text1"/>
        </w:rPr>
        <w:t>第七部分：主要资产负债科目非接触审核程序及审核要点</w:t>
      </w:r>
      <w:bookmarkEnd w:id="51"/>
    </w:p>
    <w:p w:rsidR="00683742" w:rsidRDefault="00F87A27" w:rsidP="007302F8">
      <w:pPr>
        <w:pStyle w:val="a7"/>
        <w:adjustRightInd w:val="0"/>
        <w:snapToGrid w:val="0"/>
        <w:spacing w:beforeLines="50" w:line="360" w:lineRule="auto"/>
        <w:ind w:firstLineChars="200" w:firstLine="480"/>
        <w:jc w:val="both"/>
        <w:outlineLvl w:val="2"/>
        <w:rPr>
          <w:rFonts w:ascii="黑体" w:eastAsia="黑体" w:hAnsi="黑体"/>
          <w:color w:val="000000" w:themeColor="text1"/>
        </w:rPr>
      </w:pPr>
      <w:bookmarkStart w:id="52" w:name="_Toc30763"/>
      <w:r>
        <w:rPr>
          <w:rFonts w:ascii="黑体" w:eastAsia="黑体" w:hAnsi="黑体" w:hint="eastAsia"/>
          <w:color w:val="000000" w:themeColor="text1"/>
        </w:rPr>
        <w:t>一、应交税费审核程序及审核要点</w:t>
      </w:r>
      <w:bookmarkEnd w:id="52"/>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（一）审核程序：</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1、针对企业所在行业、主营业务等评估所涉及的税种和相关税务风险，通过网站查询被审核单位历年公开信息，是否存在税务行政处罚等以了解被审核单位税务风险。</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2、确定被审核单位纳税人身份及相关税收优惠政策。</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3、分析各税种每月的波动变化，是否存在异常变动。</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4、根据财务数据之间的逻辑关系重新计算各税金的金额，确定计提税金是否准确，与实际申报金额做对比。</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5、审核税金的缴纳凭证，并且与银行流水做比对，审核税金的真实性。</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6、确定调整事项，与被审核单位沟通，可采用包括电话、电子邮件、语音和视频工具、内部视频和电话会议平台等远程方式开展。</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lastRenderedPageBreak/>
        <w:t>（二）审核要点：</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1、是否存在替员工、业主缴纳税金的情况，对此应依据具体政策进行相应的调整。</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2、是否存在退税的情况，确定是否进行正确的会计核算。</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3、涉及进出口业务的被审核单位，复核出口货物退税的核算是否正确，是否按规定进行了会计处理。</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4、分析应交税费期末借方余额的项目，查明原因，判断是否由被审核单位预缴税款引起。</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5、使用通讯手段传输被审核单位税务信息，需关注信息传递和保管所涉及的安全风险，并采取适当措施确保客户信息安全。</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6、应在整个审核过程中对所获取扫描件的真实性和完整性保持审慎关注，应采用多方面方式进行确定，如有必要索要原件。</w:t>
      </w:r>
    </w:p>
    <w:p w:rsidR="00683742" w:rsidRDefault="00F87A27" w:rsidP="007302F8">
      <w:pPr>
        <w:pStyle w:val="a7"/>
        <w:adjustRightInd w:val="0"/>
        <w:snapToGrid w:val="0"/>
        <w:spacing w:beforeLines="50" w:line="360" w:lineRule="auto"/>
        <w:ind w:firstLineChars="200" w:firstLine="480"/>
        <w:jc w:val="both"/>
        <w:outlineLvl w:val="2"/>
        <w:rPr>
          <w:rFonts w:ascii="黑体" w:eastAsia="黑体" w:hAnsi="黑体"/>
          <w:color w:val="000000" w:themeColor="text1"/>
        </w:rPr>
      </w:pPr>
      <w:bookmarkStart w:id="53" w:name="_Toc15492"/>
      <w:r>
        <w:rPr>
          <w:rFonts w:ascii="黑体" w:eastAsia="黑体" w:hAnsi="黑体" w:hint="eastAsia"/>
          <w:color w:val="000000" w:themeColor="text1"/>
        </w:rPr>
        <w:t>二、工资薪酬审核程序及审核要点</w:t>
      </w:r>
      <w:bookmarkEnd w:id="53"/>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（一）审核程序</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1、获取或编制被审核单位工资薪金费用明细表，并与相关的明细账和总账核对；</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2、对被审核单位本期工资费用发生情况进行分析性复核：</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①检查各月工资费用的发生额是否有异常波动，若有，则要求被审核单位予以解释，并检查原因是否合理；</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②将本期工资费用与上期进行比较，要求被审核单位解释其增减变动的原因，或取得公司管理当局关于员工工资水平的决议；</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③将直接人工、管理费用、销售费用、在建工程账户中的工资薪金费用入账数或工资分配表进行核对，并审核工薪费用分配的准确性和合理性。</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3、了解被审核单位工资制度，审核工资薪金支出的范围，并检查工资、奖金、津贴的核算是否符合有关规定；</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lastRenderedPageBreak/>
        <w:t>4、核实被审核单位工资薪金费用明细表所列的员工是否与本单位签订了用工协议或劳务合同；</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5、抽查应付工资的支付凭证，有无授权批准和领款人签章；</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6、将抽查应付工资贷方发生额累计数与相关的成本、费用账户核对一致；</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7、检查其他应付款长期挂账的原因，并作出记录，必要时予以调整；</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8、合理的工资薪金支出允许扣除，但提取未发放给职工的工资（工资储备）须作纳税调整；</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9、审核按税法规定不作为工资薪金支出的项目，并对下列已列入工资薪金支出的进行纳税调整：</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①雇员向纳税人投资而分配的股息性所得；</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②根据国家或省级政府的规定为雇员支付的社会保障性缴款；</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③从已提取职工福利基金中支付的各项福利支出（包括职工生活困难补助、探亲路费等）；</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④各项劳动保护支出；</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⑤雇员调动工作的旅费和安家费；</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⑥雇员离退休、退职待遇和各项支出；</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⑦独生子女补贴；</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⑧纳税人负担的住房公积金；</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⑨国家税收法规规定的其他不属于工资薪金支出的项目。</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10、被审核单位以前年度形成的节余，分清情况进行审核。</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（二）审核要点</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1、核实被审核单位领取工资的人数是否准确，是否存在虚列人员虚列工资的行为，通过人事部门提供的职工花名册核实年度职工人数，与领取工资的人数比较是否相符；</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lastRenderedPageBreak/>
        <w:t>2、核实被审核单位发生的工资薪金支出是否合理，是否符合税收政策规定的工资薪金确认的五项原则；</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3、核实被审核单位发生的工资薪金总和是否符合税收政策规定的范围，是否包括应列入职工福利费范围的项目；</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4、核实被审核单位年末有无尚未发放的工资余额，是否在所得税汇算清缴日期截止前发放，若未发放是否进行了应纳税所得额调整。</w:t>
      </w:r>
    </w:p>
    <w:p w:rsidR="00683742" w:rsidRDefault="00F87A27" w:rsidP="007302F8">
      <w:pPr>
        <w:pStyle w:val="a7"/>
        <w:adjustRightInd w:val="0"/>
        <w:snapToGrid w:val="0"/>
        <w:spacing w:beforeLines="50" w:line="360" w:lineRule="auto"/>
        <w:ind w:firstLineChars="200" w:firstLine="480"/>
        <w:jc w:val="both"/>
        <w:outlineLvl w:val="2"/>
        <w:rPr>
          <w:rFonts w:ascii="黑体" w:eastAsia="黑体" w:hAnsi="黑体"/>
          <w:color w:val="000000" w:themeColor="text1"/>
        </w:rPr>
      </w:pPr>
      <w:bookmarkStart w:id="54" w:name="_Toc27998"/>
      <w:r>
        <w:rPr>
          <w:rFonts w:ascii="黑体" w:eastAsia="黑体" w:hAnsi="黑体" w:hint="eastAsia"/>
          <w:color w:val="000000" w:themeColor="text1"/>
        </w:rPr>
        <w:t>三、职工福利费审核程序及审核要点</w:t>
      </w:r>
      <w:bookmarkEnd w:id="54"/>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（一）审核程序</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被审核单位本年度发生的职工福利费是否符合税法规定的标准和范围，列支的金额是否正确，并作出相应税务处理。</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（二）审核要点</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1、核实被审核单位税前扣除的职工福利费是否符合税法规定的范围，有无列支应由个人承担的各项费用的行为，有无其他费用在职工福利费中列支；</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2、核实被审核单位本年度税前扣除的职工福利费，是否按本年度不超过税法规定的工资薪金总额14%限额的实际发生数扣除；</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3、核实被审核单位年末有无计提尚未使用的职工福利费余额，是否在所得税汇算清缴日期截止前使用，若未使用是否进行了应纳税所得额调整。</w:t>
      </w:r>
    </w:p>
    <w:p w:rsidR="00683742" w:rsidRDefault="00F87A27" w:rsidP="007302F8">
      <w:pPr>
        <w:pStyle w:val="a7"/>
        <w:adjustRightInd w:val="0"/>
        <w:snapToGrid w:val="0"/>
        <w:spacing w:beforeLines="50" w:line="360" w:lineRule="auto"/>
        <w:ind w:firstLineChars="200" w:firstLine="480"/>
        <w:jc w:val="both"/>
        <w:outlineLvl w:val="2"/>
        <w:rPr>
          <w:rFonts w:ascii="黑体" w:eastAsia="黑体" w:hAnsi="黑体"/>
          <w:color w:val="000000" w:themeColor="text1"/>
        </w:rPr>
      </w:pPr>
      <w:bookmarkStart w:id="55" w:name="_Toc16274"/>
      <w:r>
        <w:rPr>
          <w:rFonts w:ascii="黑体" w:eastAsia="黑体" w:hAnsi="黑体" w:hint="eastAsia"/>
          <w:color w:val="000000" w:themeColor="text1"/>
        </w:rPr>
        <w:t>四、职工教育经费审核程序及审核要点</w:t>
      </w:r>
      <w:bookmarkEnd w:id="55"/>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（一）审核程序</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被审核单位本年度职工教育经费，对提取未实际使用的部分、超过8%的部分进行纳税调整；超过部分，准予在以后纳税年度结转扣除。关注集成电路设计企业、符合条件软件企业和动漫企业的职工培训费用, 可据实扣除。</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（二）审核要点</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1、核实被审核单位税前扣除的职工教育经费是否符合税法规定的范围，有无列支应由个人承担的各项费用的行为，有无其他费用在职工教育经费中列支；</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lastRenderedPageBreak/>
        <w:t>2、核实被审核单位本年度税前扣除的职工教育经费，是否按本年度不超过税法规定的工资薪金总额8%限额的实际发生数扣除；超过部分，准予在以后纳税年度结转扣除。</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3、核实被审核单位年末有无计提尚未使用的职工教育经费余额，是否进行了应纳税所得额调整。</w:t>
      </w:r>
    </w:p>
    <w:p w:rsidR="00683742" w:rsidRDefault="00F87A27" w:rsidP="007302F8">
      <w:pPr>
        <w:pStyle w:val="a7"/>
        <w:adjustRightInd w:val="0"/>
        <w:snapToGrid w:val="0"/>
        <w:spacing w:beforeLines="50" w:line="360" w:lineRule="auto"/>
        <w:ind w:firstLineChars="200" w:firstLine="480"/>
        <w:jc w:val="both"/>
        <w:outlineLvl w:val="2"/>
        <w:rPr>
          <w:rFonts w:ascii="黑体" w:eastAsia="黑体" w:hAnsi="黑体"/>
          <w:color w:val="000000" w:themeColor="text1"/>
        </w:rPr>
      </w:pPr>
      <w:bookmarkStart w:id="56" w:name="_Toc16224"/>
      <w:r>
        <w:rPr>
          <w:rFonts w:ascii="黑体" w:eastAsia="黑体" w:hAnsi="黑体" w:hint="eastAsia"/>
          <w:color w:val="000000" w:themeColor="text1"/>
        </w:rPr>
        <w:t>五、工会经费审核程序及审核要点</w:t>
      </w:r>
      <w:bookmarkEnd w:id="56"/>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（一）审核程序</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被审核单位本年度工会经费，对未取得工会经费专用收据、未实际拨缴给工会组织、超过工资薪金总额2%的部分进行纳税调整。</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（二）审核要点</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1、核实被审核单位本年度税前扣除的工会经费，是否取得合法、有效的凭据；</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2、核实被审核单位本年度税前扣除的工会经费，是否按本年度不超过税法规定的工资薪金总额2%限额的实际发生数扣除。</w:t>
      </w:r>
    </w:p>
    <w:p w:rsidR="00683742" w:rsidRDefault="00F87A27" w:rsidP="007302F8">
      <w:pPr>
        <w:pStyle w:val="a7"/>
        <w:adjustRightInd w:val="0"/>
        <w:snapToGrid w:val="0"/>
        <w:spacing w:beforeLines="50" w:line="360" w:lineRule="auto"/>
        <w:ind w:firstLineChars="200" w:firstLine="480"/>
        <w:jc w:val="both"/>
        <w:outlineLvl w:val="2"/>
        <w:rPr>
          <w:rFonts w:ascii="黑体" w:eastAsia="黑体" w:hAnsi="黑体"/>
          <w:color w:val="000000" w:themeColor="text1"/>
        </w:rPr>
      </w:pPr>
      <w:bookmarkStart w:id="57" w:name="_Toc11941"/>
      <w:r>
        <w:rPr>
          <w:rFonts w:ascii="黑体" w:eastAsia="黑体" w:hAnsi="黑体" w:hint="eastAsia"/>
          <w:color w:val="000000" w:themeColor="text1"/>
        </w:rPr>
        <w:t>六、各类基本社会保障性保险审核程序及审核要点</w:t>
      </w:r>
      <w:bookmarkEnd w:id="57"/>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（一）审核程序</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1、逐项审核被审核单位基本养老保险费、基本医疗保险费、失业保险费、工伤保险费、生育保险费等基本社会保险是否按国务院主管部门或省级政府规定的范围和标准扣除；对超过规定标准部分进行纳税调整。</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2、查看被审核单位上述保险费资金缴纳的原始票据、记账凭证及社保部门开具的收款凭据，未取得合法有效的凭据不可以税前扣除，进行纳税调整。</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（二）审核要点</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1、核实被审核单位计算基本养老保险费、基本医疗保险费、失业保险费、工伤保险费、生育保险费等基本社会保险费的基数和人数是否准确，与领取工资的人数是否相符，根据其各项保险的计提基数与其税前列支的工资薪金进行比对，</w:t>
      </w:r>
      <w:r>
        <w:rPr>
          <w:rFonts w:ascii="黑体" w:eastAsia="黑体" w:hAnsi="黑体" w:hint="eastAsia"/>
          <w:color w:val="000000" w:themeColor="text1"/>
        </w:rPr>
        <w:lastRenderedPageBreak/>
        <w:t>落实是否存在问题；</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2、核实被审核单位上述保险费是否真正缴纳，查看其资金缴纳的原始票据、记账凭证及社保部门开具的收款凭据。</w:t>
      </w:r>
    </w:p>
    <w:p w:rsidR="00683742" w:rsidRDefault="00F87A27" w:rsidP="007302F8">
      <w:pPr>
        <w:pStyle w:val="a7"/>
        <w:adjustRightInd w:val="0"/>
        <w:snapToGrid w:val="0"/>
        <w:spacing w:beforeLines="50" w:line="360" w:lineRule="auto"/>
        <w:ind w:firstLineChars="200" w:firstLine="480"/>
        <w:jc w:val="both"/>
        <w:outlineLvl w:val="2"/>
        <w:rPr>
          <w:rFonts w:ascii="黑体" w:eastAsia="黑体" w:hAnsi="黑体"/>
          <w:color w:val="000000" w:themeColor="text1"/>
        </w:rPr>
      </w:pPr>
      <w:bookmarkStart w:id="58" w:name="_Toc24319"/>
      <w:r>
        <w:rPr>
          <w:rFonts w:ascii="黑体" w:eastAsia="黑体" w:hAnsi="黑体" w:hint="eastAsia"/>
          <w:color w:val="000000" w:themeColor="text1"/>
        </w:rPr>
        <w:t>七、住房公积金审核程序及审核要点</w:t>
      </w:r>
      <w:bookmarkEnd w:id="58"/>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（一）审核程序</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1、审核被审核单位住房公积金是否按国务院主管部门或省级政府规定的范围和标准扣除，对超过规定标准部门进行纳税调整。</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2、被审核单位住房公积金资金缴纳的原始票据、记账凭证及社保部门开具的收款凭据，未取得合法有效的凭据不可以税前扣除，进行纳税调整。</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（二）审核要点</w:t>
      </w:r>
    </w:p>
    <w:p w:rsidR="00683742" w:rsidRDefault="00F87A27" w:rsidP="007302F8">
      <w:pPr>
        <w:pStyle w:val="a7"/>
        <w:adjustRightInd w:val="0"/>
        <w:snapToGrid w:val="0"/>
        <w:spacing w:beforeLines="50" w:line="384"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1、核实被审核单位计算基数和人数是否准确，与领取工资的人数是否相符，根据住房公积金的计提基数与其税前列支的工资薪金进行比对，落实是否存在问题；</w:t>
      </w:r>
    </w:p>
    <w:p w:rsidR="00683742" w:rsidRDefault="00F87A27" w:rsidP="007302F8">
      <w:pPr>
        <w:pStyle w:val="a7"/>
        <w:adjustRightInd w:val="0"/>
        <w:snapToGrid w:val="0"/>
        <w:spacing w:beforeLines="50" w:line="384"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2、核实被审核单位其计提的比例是否符合国家的相关规定，计提住房公积金的基数是否超过了国家规定的最高限额；</w:t>
      </w:r>
    </w:p>
    <w:p w:rsidR="00683742" w:rsidRDefault="00F87A27" w:rsidP="007302F8">
      <w:pPr>
        <w:pStyle w:val="a7"/>
        <w:adjustRightInd w:val="0"/>
        <w:snapToGrid w:val="0"/>
        <w:spacing w:beforeLines="50" w:line="384"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 xml:space="preserve">3、核实被审核单位住房公积金是否真正缴纳，查看其资金缴纳的原始票据、记账凭证及相关部门开具的收款凭据。 </w:t>
      </w:r>
    </w:p>
    <w:p w:rsidR="00683742" w:rsidRDefault="00F87A27" w:rsidP="007302F8">
      <w:pPr>
        <w:pStyle w:val="a7"/>
        <w:adjustRightInd w:val="0"/>
        <w:snapToGrid w:val="0"/>
        <w:spacing w:beforeLines="50" w:line="360" w:lineRule="auto"/>
        <w:ind w:firstLineChars="200" w:firstLine="480"/>
        <w:jc w:val="both"/>
        <w:outlineLvl w:val="2"/>
        <w:rPr>
          <w:rFonts w:ascii="黑体" w:eastAsia="黑体" w:hAnsi="黑体"/>
          <w:color w:val="000000" w:themeColor="text1"/>
        </w:rPr>
      </w:pPr>
      <w:bookmarkStart w:id="59" w:name="_Toc13538"/>
      <w:r>
        <w:rPr>
          <w:rFonts w:ascii="黑体" w:eastAsia="黑体" w:hAnsi="黑体" w:hint="eastAsia"/>
          <w:color w:val="000000" w:themeColor="text1"/>
        </w:rPr>
        <w:t>八、补充养老保险、补充医疗保险审核程序及审核要点</w:t>
      </w:r>
      <w:bookmarkEnd w:id="59"/>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（一）审核程序</w:t>
      </w:r>
    </w:p>
    <w:p w:rsidR="00683742" w:rsidRDefault="00F87A27" w:rsidP="007302F8">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逐项审核被审核单位上述保险费，未取得合法有效的凭据不可以税前扣除，超过工资薪金总额5%的部分进行纳税调整。</w:t>
      </w:r>
    </w:p>
    <w:p w:rsidR="00683742" w:rsidRDefault="00F87A27" w:rsidP="007302F8">
      <w:pPr>
        <w:pStyle w:val="a7"/>
        <w:adjustRightInd w:val="0"/>
        <w:snapToGrid w:val="0"/>
        <w:spacing w:beforeLines="50" w:line="360" w:lineRule="auto"/>
        <w:ind w:firstLineChars="150" w:firstLine="360"/>
        <w:jc w:val="both"/>
        <w:rPr>
          <w:rFonts w:ascii="黑体" w:eastAsia="黑体" w:hAnsi="黑体"/>
          <w:color w:val="000000" w:themeColor="text1"/>
        </w:rPr>
      </w:pPr>
      <w:r>
        <w:rPr>
          <w:rFonts w:ascii="黑体" w:eastAsia="黑体" w:hAnsi="黑体" w:hint="eastAsia"/>
          <w:color w:val="000000" w:themeColor="text1"/>
        </w:rPr>
        <w:t>（二）审核要点</w:t>
      </w:r>
    </w:p>
    <w:p w:rsidR="00683742" w:rsidRDefault="00F87A27" w:rsidP="007302F8">
      <w:pPr>
        <w:pStyle w:val="a7"/>
        <w:adjustRightInd w:val="0"/>
        <w:snapToGrid w:val="0"/>
        <w:spacing w:beforeLines="50" w:line="384"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1、核实被审核单位计算缴纳上述补充保险的人员是否为企业的全体员工，是否只为其中一部分人缴纳了补充保险；</w:t>
      </w:r>
    </w:p>
    <w:p w:rsidR="00683742" w:rsidRDefault="00F87A27" w:rsidP="007302F8">
      <w:pPr>
        <w:pStyle w:val="a7"/>
        <w:adjustRightInd w:val="0"/>
        <w:snapToGrid w:val="0"/>
        <w:spacing w:beforeLines="50" w:line="384" w:lineRule="auto"/>
        <w:ind w:firstLineChars="200" w:firstLine="480"/>
        <w:jc w:val="both"/>
        <w:rPr>
          <w:rFonts w:ascii="黑体" w:eastAsia="黑体" w:hAnsi="黑体"/>
          <w:color w:val="000000" w:themeColor="text1"/>
        </w:rPr>
      </w:pPr>
      <w:r>
        <w:rPr>
          <w:rFonts w:ascii="黑体" w:eastAsia="黑体" w:hAnsi="黑体" w:hint="eastAsia"/>
          <w:color w:val="000000" w:themeColor="text1"/>
        </w:rPr>
        <w:lastRenderedPageBreak/>
        <w:t>2、核实被审核单位计算基数和人数是否准确，与领取工资的人数是否相符，根据其各项保险的计提基数与与其税前列支的工资薪金进行比对，落实是否存在问题；</w:t>
      </w:r>
    </w:p>
    <w:p w:rsidR="00683742" w:rsidRDefault="00F87A27" w:rsidP="007302F8">
      <w:pPr>
        <w:pStyle w:val="a7"/>
        <w:adjustRightInd w:val="0"/>
        <w:snapToGrid w:val="0"/>
        <w:spacing w:beforeLines="50" w:line="384"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3、核实被审核单位为本企业任职或者受雇的全体员工支付的上述保险费，是否根据税法规定分别按本年度不超过工资薪金总额5%标准税前扣除；</w:t>
      </w:r>
    </w:p>
    <w:p w:rsidR="00683742" w:rsidRDefault="00F87A27" w:rsidP="007302F8">
      <w:pPr>
        <w:pStyle w:val="a7"/>
        <w:adjustRightInd w:val="0"/>
        <w:snapToGrid w:val="0"/>
        <w:spacing w:beforeLines="50" w:line="384"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4、核实被审核单位上述保险费是否真正缴纳，查看其资金缴纳的原始票据、记账凭证及合法有效的凭据。</w:t>
      </w:r>
    </w:p>
    <w:p w:rsidR="00683742" w:rsidRDefault="00683742" w:rsidP="007302F8">
      <w:pPr>
        <w:pStyle w:val="a7"/>
        <w:adjustRightInd w:val="0"/>
        <w:snapToGrid w:val="0"/>
        <w:spacing w:beforeLines="50" w:line="360" w:lineRule="auto"/>
        <w:ind w:firstLineChars="200" w:firstLine="480"/>
        <w:jc w:val="both"/>
        <w:rPr>
          <w:rFonts w:ascii="黑体" w:eastAsia="黑体" w:hAnsi="黑体"/>
          <w:color w:val="000000" w:themeColor="text1"/>
        </w:rPr>
      </w:pPr>
    </w:p>
    <w:p w:rsidR="00683742" w:rsidRDefault="00683742" w:rsidP="007302F8">
      <w:pPr>
        <w:pStyle w:val="a7"/>
        <w:adjustRightInd w:val="0"/>
        <w:snapToGrid w:val="0"/>
        <w:spacing w:beforeLines="50" w:line="360" w:lineRule="auto"/>
        <w:ind w:firstLineChars="200" w:firstLine="480"/>
        <w:jc w:val="both"/>
        <w:rPr>
          <w:rFonts w:ascii="黑体" w:eastAsia="黑体" w:hAnsi="黑体"/>
          <w:color w:val="000000" w:themeColor="text1"/>
        </w:rPr>
      </w:pPr>
    </w:p>
    <w:p w:rsidR="00683742" w:rsidRDefault="00683742" w:rsidP="007302F8">
      <w:pPr>
        <w:pStyle w:val="a7"/>
        <w:adjustRightInd w:val="0"/>
        <w:snapToGrid w:val="0"/>
        <w:spacing w:beforeLines="50" w:line="360" w:lineRule="auto"/>
        <w:ind w:firstLineChars="200" w:firstLine="480"/>
        <w:jc w:val="both"/>
        <w:rPr>
          <w:rFonts w:ascii="黑体" w:eastAsia="黑体" w:hAnsi="黑体"/>
          <w:color w:val="000000" w:themeColor="text1"/>
        </w:rPr>
      </w:pPr>
    </w:p>
    <w:p w:rsidR="00683742" w:rsidRDefault="00683742" w:rsidP="007302F8">
      <w:pPr>
        <w:pStyle w:val="a7"/>
        <w:adjustRightInd w:val="0"/>
        <w:snapToGrid w:val="0"/>
        <w:spacing w:beforeLines="50" w:line="360" w:lineRule="auto"/>
        <w:ind w:firstLineChars="200" w:firstLine="480"/>
        <w:jc w:val="both"/>
        <w:rPr>
          <w:rFonts w:ascii="黑体" w:eastAsia="黑体" w:hAnsi="黑体"/>
          <w:color w:val="000000" w:themeColor="text1"/>
        </w:rPr>
      </w:pPr>
    </w:p>
    <w:p w:rsidR="00683742" w:rsidRDefault="00683742" w:rsidP="007302F8">
      <w:pPr>
        <w:pStyle w:val="a7"/>
        <w:adjustRightInd w:val="0"/>
        <w:snapToGrid w:val="0"/>
        <w:spacing w:beforeLines="50" w:line="360" w:lineRule="auto"/>
        <w:ind w:firstLineChars="200" w:firstLine="480"/>
        <w:jc w:val="both"/>
        <w:rPr>
          <w:rFonts w:ascii="黑体" w:eastAsia="黑体" w:hAnsi="黑体"/>
          <w:color w:val="000000" w:themeColor="text1"/>
        </w:rPr>
      </w:pPr>
    </w:p>
    <w:p w:rsidR="00683742" w:rsidRDefault="00F87A27" w:rsidP="00701FD7">
      <w:pPr>
        <w:pStyle w:val="a7"/>
        <w:adjustRightInd w:val="0"/>
        <w:snapToGrid w:val="0"/>
        <w:spacing w:beforeLines="50" w:line="360" w:lineRule="auto"/>
        <w:ind w:firstLineChars="200" w:firstLine="480"/>
        <w:jc w:val="both"/>
        <w:rPr>
          <w:rFonts w:ascii="黑体" w:eastAsia="黑体" w:hAnsi="黑体"/>
          <w:color w:val="000000" w:themeColor="text1"/>
        </w:rPr>
      </w:pPr>
      <w:r>
        <w:rPr>
          <w:rFonts w:ascii="黑体" w:eastAsia="黑体" w:hAnsi="黑体" w:hint="eastAsia"/>
          <w:color w:val="000000" w:themeColor="text1"/>
        </w:rPr>
        <w:t xml:space="preserve">                          </w:t>
      </w:r>
    </w:p>
    <w:sectPr w:rsidR="00683742" w:rsidSect="00683742">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4C2" w:rsidRDefault="007934C2" w:rsidP="00683742">
      <w:r>
        <w:separator/>
      </w:r>
    </w:p>
  </w:endnote>
  <w:endnote w:type="continuationSeparator" w:id="0">
    <w:p w:rsidR="007934C2" w:rsidRDefault="007934C2" w:rsidP="006837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2F8" w:rsidRDefault="007302F8">
    <w:pPr>
      <w:pStyle w:val="a5"/>
      <w:tabs>
        <w:tab w:val="clear" w:pos="4153"/>
        <w:tab w:val="left" w:pos="4878"/>
      </w:tabs>
      <w:rPr>
        <w:rFonts w:ascii="Arial" w:eastAsia="宋体" w:hAnsi="Arial" w:cs="Arial"/>
      </w:rPr>
    </w:pPr>
    <w:r>
      <w:rPr>
        <w:rFonts w:ascii="Arial" w:eastAsia="宋体" w:hAnsi="Arial" w:cs="Arial"/>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2F8" w:rsidRDefault="007302F8">
    <w:pPr>
      <w:pStyle w:val="a5"/>
      <w:tabs>
        <w:tab w:val="clear" w:pos="4153"/>
        <w:tab w:val="left" w:pos="4878"/>
      </w:tabs>
      <w:rPr>
        <w:rFonts w:ascii="Arial" w:eastAsia="宋体" w:hAnsi="Arial" w:cs="Arial"/>
      </w:rPr>
    </w:pPr>
    <w:r>
      <w:rPr>
        <w:rFonts w:ascii="Arial" w:eastAsia="宋体" w:hAnsi="Arial" w:cs="Arial"/>
      </w:rPr>
      <w:pict>
        <v:shapetype id="_x0000_t202" coordsize="21600,21600" o:spt="202" path="m,l,21600r21600,l21600,xe">
          <v:stroke joinstyle="miter"/>
          <v:path gradientshapeok="t" o:connecttype="rect"/>
        </v:shapetype>
        <v:shape id="文本框 1026" o:sp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ahL8BAABlAwAADgAAAGRycy9lMm9Eb2MueG1srVNLbtswEN0H6B0I&#10;7mvJAhI4guUgQZCiQNEGSHIAmiItAiSHIGlLvkB7g6666T7n8jkypCUnaHdBNtR838ybGS2vBqPJ&#10;TvigwDZ0PispEZZDq+ymoU+Pd58XlITIbMs0WNHQvQj0avXpbNm7WlTQgW6FJwhiQ927hnYxuroo&#10;Au+EYWEGTlh0SvCGRVT9pmg96xHd6KIqy4uiB986D1yEgNbbo5OuMr6UgscfUgYRiW4o9hbz6/O7&#10;Tm+xWrJ645nrFB/bYO/owjBlsegJ6pZFRrZe/QdlFPcQQMYZB1OAlIqLzAHZzMt/2Dx0zInMBYcT&#10;3GlM4eNg+ffdvSeqxd1RYpnBFR1+/zr8eT78/UnmZXWRJtS7UGPgg8PQONzAkKJHe0BjIj5Ib9IX&#10;KRH046z3p/mKIRKekhbVYlGii6NvUhCneE13PsQvAgxJQkM9LjDPle2+hXgMnUJSNQt3Smu0s1pb&#10;0jf08rw6zwknD4JrmwJEPocRJlE6tp6kOKyHkc8a2j3S7PEkGmrxZinRXy1OPF3PJPhJWE/C1nm1&#10;6bDjea4e3PU2Ym+55VThCItUk4K7zKTHu0vH8lbPUa9/x+o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ql5uc8AAAAFAQAADwAAAAAAAAABACAAAAAiAAAAZHJzL2Rvd25yZXYueG1sUEsBAhQAFAAA&#10;AAgAh07iQCfiGoS/AQAAZQMAAA4AAAAAAAAAAQAgAAAAHgEAAGRycy9lMm9Eb2MueG1sUEsFBgAA&#10;AAAGAAYAWQEAAE8FAAAAAA==&#10;" filled="f" stroked="f">
          <v:textbox style="mso-fit-shape-to-text:t" inset="0,0,0,0">
            <w:txbxContent>
              <w:p w:rsidR="007302F8" w:rsidRDefault="007302F8">
                <w:pPr>
                  <w:pStyle w:val="a5"/>
                </w:pPr>
                <w:r>
                  <w:rPr>
                    <w:rFonts w:ascii="Arial" w:eastAsia="宋体" w:hAnsi="Arial" w:cs="Arial"/>
                  </w:rPr>
                  <w:t>第</w:t>
                </w:r>
                <w:r>
                  <w:rPr>
                    <w:rFonts w:ascii="Arial" w:eastAsia="宋体" w:hAnsi="Arial" w:cs="Arial"/>
                  </w:rPr>
                  <w:t xml:space="preserve"> </w:t>
                </w:r>
                <w:r>
                  <w:rPr>
                    <w:rFonts w:ascii="Arial" w:eastAsia="宋体" w:hAnsi="Arial" w:cs="Arial"/>
                  </w:rPr>
                  <w:fldChar w:fldCharType="begin"/>
                </w:r>
                <w:r>
                  <w:rPr>
                    <w:rFonts w:ascii="Arial" w:eastAsia="宋体" w:hAnsi="Arial" w:cs="Arial"/>
                  </w:rPr>
                  <w:instrText xml:space="preserve"> PAGE  \* MERGEFORMAT </w:instrText>
                </w:r>
                <w:r>
                  <w:rPr>
                    <w:rFonts w:ascii="Arial" w:eastAsia="宋体" w:hAnsi="Arial" w:cs="Arial"/>
                  </w:rPr>
                  <w:fldChar w:fldCharType="separate"/>
                </w:r>
                <w:r w:rsidR="0029680A">
                  <w:rPr>
                    <w:rFonts w:ascii="Arial" w:eastAsia="宋体" w:hAnsi="Arial" w:cs="Arial"/>
                    <w:noProof/>
                  </w:rPr>
                  <w:t>9</w:t>
                </w:r>
                <w:r>
                  <w:rPr>
                    <w:rFonts w:ascii="Arial" w:eastAsia="宋体" w:hAnsi="Arial" w:cs="Arial"/>
                  </w:rPr>
                  <w:fldChar w:fldCharType="end"/>
                </w:r>
                <w:r>
                  <w:rPr>
                    <w:rFonts w:ascii="Arial" w:eastAsia="宋体" w:hAnsi="Arial" w:cs="Arial"/>
                  </w:rPr>
                  <w:t xml:space="preserve"> </w:t>
                </w:r>
                <w:r>
                  <w:rPr>
                    <w:rFonts w:ascii="Arial" w:eastAsia="宋体" w:hAnsi="Arial" w:cs="Arial"/>
                  </w:rPr>
                  <w:t>页</w:t>
                </w:r>
                <w:r>
                  <w:rPr>
                    <w:rFonts w:ascii="Arial" w:eastAsia="宋体" w:hAnsi="Arial" w:cs="Arial"/>
                  </w:rPr>
                  <w:t xml:space="preserve"> </w:t>
                </w:r>
                <w:r>
                  <w:rPr>
                    <w:rFonts w:ascii="Arial" w:eastAsia="宋体" w:hAnsi="Arial" w:cs="Arial"/>
                  </w:rPr>
                  <w:t>共</w:t>
                </w:r>
                <w:r>
                  <w:rPr>
                    <w:rFonts w:ascii="Arial" w:eastAsia="宋体" w:hAnsi="Arial" w:cs="Arial" w:hint="eastAsia"/>
                  </w:rPr>
                  <w:t>37</w:t>
                </w:r>
                <w:r>
                  <w:rPr>
                    <w:rFonts w:ascii="Arial" w:eastAsia="宋体" w:hAnsi="Arial" w:cs="Arial"/>
                  </w:rPr>
                  <w:t>页</w:t>
                </w:r>
              </w:p>
            </w:txbxContent>
          </v:textbox>
          <w10:wrap anchorx="margin"/>
        </v:shape>
      </w:pict>
    </w:r>
    <w:r>
      <w:rPr>
        <w:rFonts w:ascii="Arial" w:eastAsia="宋体" w:hAnsi="Arial" w:cs="Arial"/>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4C2" w:rsidRDefault="007934C2" w:rsidP="00683742">
      <w:r>
        <w:separator/>
      </w:r>
    </w:p>
  </w:footnote>
  <w:footnote w:type="continuationSeparator" w:id="0">
    <w:p w:rsidR="007934C2" w:rsidRDefault="007934C2" w:rsidP="006837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2D7222E"/>
    <w:multiLevelType w:val="singleLevel"/>
    <w:tmpl w:val="F2D7222E"/>
    <w:lvl w:ilvl="0">
      <w:start w:val="1"/>
      <w:numFmt w:val="decimal"/>
      <w:suff w:val="nothing"/>
      <w:lvlText w:val="%1、"/>
      <w:lvlJc w:val="left"/>
    </w:lvl>
  </w:abstractNum>
  <w:abstractNum w:abstractNumId="1">
    <w:nsid w:val="54251447"/>
    <w:multiLevelType w:val="singleLevel"/>
    <w:tmpl w:val="54251447"/>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22EE"/>
    <w:rsid w:val="00000721"/>
    <w:rsid w:val="00002275"/>
    <w:rsid w:val="00002B6D"/>
    <w:rsid w:val="00007366"/>
    <w:rsid w:val="00010534"/>
    <w:rsid w:val="00011260"/>
    <w:rsid w:val="00011417"/>
    <w:rsid w:val="000118BA"/>
    <w:rsid w:val="00011D09"/>
    <w:rsid w:val="00011DE8"/>
    <w:rsid w:val="00015F8F"/>
    <w:rsid w:val="000165B6"/>
    <w:rsid w:val="00017EFE"/>
    <w:rsid w:val="000228E0"/>
    <w:rsid w:val="0002455A"/>
    <w:rsid w:val="000247CC"/>
    <w:rsid w:val="00025429"/>
    <w:rsid w:val="00031584"/>
    <w:rsid w:val="00031A2C"/>
    <w:rsid w:val="0003228C"/>
    <w:rsid w:val="00032811"/>
    <w:rsid w:val="000335A6"/>
    <w:rsid w:val="000336C7"/>
    <w:rsid w:val="00035B02"/>
    <w:rsid w:val="00035BB5"/>
    <w:rsid w:val="00036027"/>
    <w:rsid w:val="00037399"/>
    <w:rsid w:val="000374C6"/>
    <w:rsid w:val="0003760F"/>
    <w:rsid w:val="0003769F"/>
    <w:rsid w:val="00037E5D"/>
    <w:rsid w:val="00041C26"/>
    <w:rsid w:val="000423E4"/>
    <w:rsid w:val="000443B5"/>
    <w:rsid w:val="000456A8"/>
    <w:rsid w:val="00045850"/>
    <w:rsid w:val="00046FC4"/>
    <w:rsid w:val="00047006"/>
    <w:rsid w:val="0004714E"/>
    <w:rsid w:val="00050068"/>
    <w:rsid w:val="000501BC"/>
    <w:rsid w:val="00050A24"/>
    <w:rsid w:val="000513B5"/>
    <w:rsid w:val="0005155A"/>
    <w:rsid w:val="00051709"/>
    <w:rsid w:val="00051829"/>
    <w:rsid w:val="00052B61"/>
    <w:rsid w:val="00052BDD"/>
    <w:rsid w:val="000530D5"/>
    <w:rsid w:val="00053330"/>
    <w:rsid w:val="00054F15"/>
    <w:rsid w:val="00055563"/>
    <w:rsid w:val="00057341"/>
    <w:rsid w:val="00060688"/>
    <w:rsid w:val="00062025"/>
    <w:rsid w:val="000637E8"/>
    <w:rsid w:val="00063929"/>
    <w:rsid w:val="0006435B"/>
    <w:rsid w:val="0006478C"/>
    <w:rsid w:val="00065AE3"/>
    <w:rsid w:val="0006613B"/>
    <w:rsid w:val="00070CC9"/>
    <w:rsid w:val="00070D01"/>
    <w:rsid w:val="0007188E"/>
    <w:rsid w:val="00073FDF"/>
    <w:rsid w:val="000745E2"/>
    <w:rsid w:val="00074A7D"/>
    <w:rsid w:val="00075036"/>
    <w:rsid w:val="00075583"/>
    <w:rsid w:val="00076ACE"/>
    <w:rsid w:val="00077F4B"/>
    <w:rsid w:val="000811AF"/>
    <w:rsid w:val="0008183F"/>
    <w:rsid w:val="000837D2"/>
    <w:rsid w:val="000843CF"/>
    <w:rsid w:val="00085EAE"/>
    <w:rsid w:val="00086ECB"/>
    <w:rsid w:val="00090934"/>
    <w:rsid w:val="00091A5B"/>
    <w:rsid w:val="00092A3F"/>
    <w:rsid w:val="000932EE"/>
    <w:rsid w:val="000956D4"/>
    <w:rsid w:val="00095D6E"/>
    <w:rsid w:val="00096D7D"/>
    <w:rsid w:val="00097D72"/>
    <w:rsid w:val="000A084D"/>
    <w:rsid w:val="000A0E98"/>
    <w:rsid w:val="000A1DE8"/>
    <w:rsid w:val="000A304D"/>
    <w:rsid w:val="000A4599"/>
    <w:rsid w:val="000A47F0"/>
    <w:rsid w:val="000A69B8"/>
    <w:rsid w:val="000A6BFF"/>
    <w:rsid w:val="000A6E71"/>
    <w:rsid w:val="000A7665"/>
    <w:rsid w:val="000B03C5"/>
    <w:rsid w:val="000B15C2"/>
    <w:rsid w:val="000B2B6F"/>
    <w:rsid w:val="000B4307"/>
    <w:rsid w:val="000B5238"/>
    <w:rsid w:val="000B69F6"/>
    <w:rsid w:val="000B6AFF"/>
    <w:rsid w:val="000B72FE"/>
    <w:rsid w:val="000B7DED"/>
    <w:rsid w:val="000C1A5A"/>
    <w:rsid w:val="000C2FE9"/>
    <w:rsid w:val="000C3974"/>
    <w:rsid w:val="000C3A62"/>
    <w:rsid w:val="000C3EF2"/>
    <w:rsid w:val="000C49C2"/>
    <w:rsid w:val="000C4D17"/>
    <w:rsid w:val="000C643F"/>
    <w:rsid w:val="000C679C"/>
    <w:rsid w:val="000C6C5C"/>
    <w:rsid w:val="000C6D4D"/>
    <w:rsid w:val="000C7ECB"/>
    <w:rsid w:val="000D02BC"/>
    <w:rsid w:val="000D07BA"/>
    <w:rsid w:val="000D18B9"/>
    <w:rsid w:val="000D19FE"/>
    <w:rsid w:val="000D2005"/>
    <w:rsid w:val="000D3780"/>
    <w:rsid w:val="000D50FC"/>
    <w:rsid w:val="000D5649"/>
    <w:rsid w:val="000D59DE"/>
    <w:rsid w:val="000D5D36"/>
    <w:rsid w:val="000D5F14"/>
    <w:rsid w:val="000E0F7E"/>
    <w:rsid w:val="000E2C70"/>
    <w:rsid w:val="000E3361"/>
    <w:rsid w:val="000E3FB5"/>
    <w:rsid w:val="000E4FF0"/>
    <w:rsid w:val="000E550B"/>
    <w:rsid w:val="000E66CF"/>
    <w:rsid w:val="000E72DA"/>
    <w:rsid w:val="000F04D0"/>
    <w:rsid w:val="000F316E"/>
    <w:rsid w:val="000F4788"/>
    <w:rsid w:val="000F4EDA"/>
    <w:rsid w:val="000F5517"/>
    <w:rsid w:val="000F7E16"/>
    <w:rsid w:val="000F7F1D"/>
    <w:rsid w:val="001004AA"/>
    <w:rsid w:val="00100D3F"/>
    <w:rsid w:val="00102ED5"/>
    <w:rsid w:val="001045C0"/>
    <w:rsid w:val="00111CFE"/>
    <w:rsid w:val="00112837"/>
    <w:rsid w:val="001156BE"/>
    <w:rsid w:val="00117A4A"/>
    <w:rsid w:val="001204C8"/>
    <w:rsid w:val="001209D7"/>
    <w:rsid w:val="00124D07"/>
    <w:rsid w:val="001263AC"/>
    <w:rsid w:val="001263C2"/>
    <w:rsid w:val="00126EE7"/>
    <w:rsid w:val="0013146A"/>
    <w:rsid w:val="00135F56"/>
    <w:rsid w:val="00137E23"/>
    <w:rsid w:val="00141614"/>
    <w:rsid w:val="0014183B"/>
    <w:rsid w:val="00141F67"/>
    <w:rsid w:val="00142144"/>
    <w:rsid w:val="00142631"/>
    <w:rsid w:val="001470AE"/>
    <w:rsid w:val="001478B4"/>
    <w:rsid w:val="001505F0"/>
    <w:rsid w:val="001506E3"/>
    <w:rsid w:val="00150CB5"/>
    <w:rsid w:val="00150E45"/>
    <w:rsid w:val="0015177A"/>
    <w:rsid w:val="0015231D"/>
    <w:rsid w:val="0015258E"/>
    <w:rsid w:val="00152B92"/>
    <w:rsid w:val="00152ECB"/>
    <w:rsid w:val="001536D1"/>
    <w:rsid w:val="0015446A"/>
    <w:rsid w:val="00154ABF"/>
    <w:rsid w:val="00154E6A"/>
    <w:rsid w:val="001562AF"/>
    <w:rsid w:val="00156A1B"/>
    <w:rsid w:val="001574BA"/>
    <w:rsid w:val="00160ED1"/>
    <w:rsid w:val="00161687"/>
    <w:rsid w:val="0016523C"/>
    <w:rsid w:val="001654DE"/>
    <w:rsid w:val="00170F63"/>
    <w:rsid w:val="00173E45"/>
    <w:rsid w:val="001748FA"/>
    <w:rsid w:val="0017498C"/>
    <w:rsid w:val="001752CD"/>
    <w:rsid w:val="00176E0A"/>
    <w:rsid w:val="00177D41"/>
    <w:rsid w:val="00180ADC"/>
    <w:rsid w:val="0018224E"/>
    <w:rsid w:val="00182A63"/>
    <w:rsid w:val="0018379A"/>
    <w:rsid w:val="00184201"/>
    <w:rsid w:val="0018445E"/>
    <w:rsid w:val="001855CB"/>
    <w:rsid w:val="0019076D"/>
    <w:rsid w:val="00190EA5"/>
    <w:rsid w:val="00193A3A"/>
    <w:rsid w:val="00194307"/>
    <w:rsid w:val="001947C4"/>
    <w:rsid w:val="00194ACA"/>
    <w:rsid w:val="00194B44"/>
    <w:rsid w:val="001952E8"/>
    <w:rsid w:val="00195DD5"/>
    <w:rsid w:val="001962F8"/>
    <w:rsid w:val="00196C13"/>
    <w:rsid w:val="001974E8"/>
    <w:rsid w:val="001A0629"/>
    <w:rsid w:val="001A0780"/>
    <w:rsid w:val="001A0DE0"/>
    <w:rsid w:val="001A27D0"/>
    <w:rsid w:val="001A4F36"/>
    <w:rsid w:val="001A5F05"/>
    <w:rsid w:val="001A6C1E"/>
    <w:rsid w:val="001B01BD"/>
    <w:rsid w:val="001B02F3"/>
    <w:rsid w:val="001B19CE"/>
    <w:rsid w:val="001B40F9"/>
    <w:rsid w:val="001B6A65"/>
    <w:rsid w:val="001B6B01"/>
    <w:rsid w:val="001B6D28"/>
    <w:rsid w:val="001B71A6"/>
    <w:rsid w:val="001B7D58"/>
    <w:rsid w:val="001C110F"/>
    <w:rsid w:val="001C16D4"/>
    <w:rsid w:val="001C1811"/>
    <w:rsid w:val="001C1AF4"/>
    <w:rsid w:val="001C388A"/>
    <w:rsid w:val="001C44C5"/>
    <w:rsid w:val="001C5E9D"/>
    <w:rsid w:val="001C5F75"/>
    <w:rsid w:val="001C69F9"/>
    <w:rsid w:val="001D0494"/>
    <w:rsid w:val="001D0640"/>
    <w:rsid w:val="001D2CFD"/>
    <w:rsid w:val="001D3E93"/>
    <w:rsid w:val="001D460C"/>
    <w:rsid w:val="001D4D2A"/>
    <w:rsid w:val="001D6160"/>
    <w:rsid w:val="001D691F"/>
    <w:rsid w:val="001D764F"/>
    <w:rsid w:val="001E0061"/>
    <w:rsid w:val="001E03AE"/>
    <w:rsid w:val="001E17E9"/>
    <w:rsid w:val="001E295F"/>
    <w:rsid w:val="001E29D5"/>
    <w:rsid w:val="001E33B6"/>
    <w:rsid w:val="001E39F4"/>
    <w:rsid w:val="001E3EB5"/>
    <w:rsid w:val="001E4A5C"/>
    <w:rsid w:val="001E4BF4"/>
    <w:rsid w:val="001E54C3"/>
    <w:rsid w:val="001E5BD3"/>
    <w:rsid w:val="001E69C3"/>
    <w:rsid w:val="001E7F63"/>
    <w:rsid w:val="001F15BE"/>
    <w:rsid w:val="001F39D5"/>
    <w:rsid w:val="001F4FF2"/>
    <w:rsid w:val="001F6CB5"/>
    <w:rsid w:val="002008A9"/>
    <w:rsid w:val="00200FCF"/>
    <w:rsid w:val="002011BE"/>
    <w:rsid w:val="00202B0C"/>
    <w:rsid w:val="00202CBB"/>
    <w:rsid w:val="0020307D"/>
    <w:rsid w:val="00203090"/>
    <w:rsid w:val="00203132"/>
    <w:rsid w:val="00203AE6"/>
    <w:rsid w:val="00203F8E"/>
    <w:rsid w:val="00204727"/>
    <w:rsid w:val="00204DE8"/>
    <w:rsid w:val="0020552F"/>
    <w:rsid w:val="0020560D"/>
    <w:rsid w:val="00205C4B"/>
    <w:rsid w:val="00205E95"/>
    <w:rsid w:val="00206406"/>
    <w:rsid w:val="002068C7"/>
    <w:rsid w:val="00206F0F"/>
    <w:rsid w:val="00211B71"/>
    <w:rsid w:val="00212B48"/>
    <w:rsid w:val="00213433"/>
    <w:rsid w:val="00215578"/>
    <w:rsid w:val="0021562A"/>
    <w:rsid w:val="00215703"/>
    <w:rsid w:val="00216D6E"/>
    <w:rsid w:val="00216DC6"/>
    <w:rsid w:val="0022270F"/>
    <w:rsid w:val="00222B0E"/>
    <w:rsid w:val="00224FCE"/>
    <w:rsid w:val="00226103"/>
    <w:rsid w:val="002265B3"/>
    <w:rsid w:val="002268C6"/>
    <w:rsid w:val="002302F2"/>
    <w:rsid w:val="002332A7"/>
    <w:rsid w:val="00233D89"/>
    <w:rsid w:val="00235322"/>
    <w:rsid w:val="002370D7"/>
    <w:rsid w:val="00237219"/>
    <w:rsid w:val="002404DE"/>
    <w:rsid w:val="00242CAE"/>
    <w:rsid w:val="002432F3"/>
    <w:rsid w:val="0024591F"/>
    <w:rsid w:val="00246245"/>
    <w:rsid w:val="002468F2"/>
    <w:rsid w:val="00246C63"/>
    <w:rsid w:val="0024753B"/>
    <w:rsid w:val="00247772"/>
    <w:rsid w:val="00247D24"/>
    <w:rsid w:val="00250A25"/>
    <w:rsid w:val="00250B3A"/>
    <w:rsid w:val="002520D5"/>
    <w:rsid w:val="00254AF8"/>
    <w:rsid w:val="0025768F"/>
    <w:rsid w:val="0026040C"/>
    <w:rsid w:val="002606EC"/>
    <w:rsid w:val="00261A4D"/>
    <w:rsid w:val="002629F4"/>
    <w:rsid w:val="00263378"/>
    <w:rsid w:val="00263ECB"/>
    <w:rsid w:val="00264470"/>
    <w:rsid w:val="002645F0"/>
    <w:rsid w:val="00264BA3"/>
    <w:rsid w:val="00265C41"/>
    <w:rsid w:val="00266F08"/>
    <w:rsid w:val="00270304"/>
    <w:rsid w:val="002707F1"/>
    <w:rsid w:val="00272354"/>
    <w:rsid w:val="00272A97"/>
    <w:rsid w:val="00274448"/>
    <w:rsid w:val="002746B8"/>
    <w:rsid w:val="00274C54"/>
    <w:rsid w:val="00274EB8"/>
    <w:rsid w:val="00275FC4"/>
    <w:rsid w:val="00276F10"/>
    <w:rsid w:val="002773CF"/>
    <w:rsid w:val="00277519"/>
    <w:rsid w:val="002807A6"/>
    <w:rsid w:val="00282FCF"/>
    <w:rsid w:val="0028421C"/>
    <w:rsid w:val="002856B2"/>
    <w:rsid w:val="002860DF"/>
    <w:rsid w:val="00291160"/>
    <w:rsid w:val="00292343"/>
    <w:rsid w:val="00293762"/>
    <w:rsid w:val="00293933"/>
    <w:rsid w:val="00294E19"/>
    <w:rsid w:val="00295EBC"/>
    <w:rsid w:val="0029680A"/>
    <w:rsid w:val="0029765A"/>
    <w:rsid w:val="00297ACF"/>
    <w:rsid w:val="002A1FD8"/>
    <w:rsid w:val="002A25D1"/>
    <w:rsid w:val="002A2A17"/>
    <w:rsid w:val="002A3D37"/>
    <w:rsid w:val="002A46DB"/>
    <w:rsid w:val="002A4FFC"/>
    <w:rsid w:val="002A5252"/>
    <w:rsid w:val="002A7E13"/>
    <w:rsid w:val="002B00E7"/>
    <w:rsid w:val="002B404B"/>
    <w:rsid w:val="002B40BC"/>
    <w:rsid w:val="002B443B"/>
    <w:rsid w:val="002B6F77"/>
    <w:rsid w:val="002C01FA"/>
    <w:rsid w:val="002C068B"/>
    <w:rsid w:val="002C0C49"/>
    <w:rsid w:val="002C0E76"/>
    <w:rsid w:val="002C10A5"/>
    <w:rsid w:val="002C1BE9"/>
    <w:rsid w:val="002C2643"/>
    <w:rsid w:val="002C26CF"/>
    <w:rsid w:val="002C5CB7"/>
    <w:rsid w:val="002C6B40"/>
    <w:rsid w:val="002C7277"/>
    <w:rsid w:val="002D06ED"/>
    <w:rsid w:val="002D12BD"/>
    <w:rsid w:val="002D1389"/>
    <w:rsid w:val="002D31B2"/>
    <w:rsid w:val="002D3DF8"/>
    <w:rsid w:val="002D56A1"/>
    <w:rsid w:val="002D59D8"/>
    <w:rsid w:val="002E18F6"/>
    <w:rsid w:val="002E26B8"/>
    <w:rsid w:val="002E48D6"/>
    <w:rsid w:val="002E4FC1"/>
    <w:rsid w:val="002F0CD3"/>
    <w:rsid w:val="002F2F97"/>
    <w:rsid w:val="002F3EC6"/>
    <w:rsid w:val="002F3FC6"/>
    <w:rsid w:val="002F41CC"/>
    <w:rsid w:val="002F4209"/>
    <w:rsid w:val="002F5D6F"/>
    <w:rsid w:val="002F6750"/>
    <w:rsid w:val="002F6B2A"/>
    <w:rsid w:val="002F6BC6"/>
    <w:rsid w:val="0030155E"/>
    <w:rsid w:val="003037BC"/>
    <w:rsid w:val="003047C3"/>
    <w:rsid w:val="00306395"/>
    <w:rsid w:val="003065E3"/>
    <w:rsid w:val="00306DBD"/>
    <w:rsid w:val="00307E41"/>
    <w:rsid w:val="00313395"/>
    <w:rsid w:val="00314990"/>
    <w:rsid w:val="00315FA9"/>
    <w:rsid w:val="0031705E"/>
    <w:rsid w:val="00317CE6"/>
    <w:rsid w:val="003208B9"/>
    <w:rsid w:val="003230CB"/>
    <w:rsid w:val="00323315"/>
    <w:rsid w:val="00323FFE"/>
    <w:rsid w:val="0032477D"/>
    <w:rsid w:val="00324C9F"/>
    <w:rsid w:val="00325361"/>
    <w:rsid w:val="0033097B"/>
    <w:rsid w:val="00332756"/>
    <w:rsid w:val="00332DED"/>
    <w:rsid w:val="00334FB6"/>
    <w:rsid w:val="003354CD"/>
    <w:rsid w:val="0033651D"/>
    <w:rsid w:val="00336C17"/>
    <w:rsid w:val="00337A75"/>
    <w:rsid w:val="00337EB8"/>
    <w:rsid w:val="00340BB2"/>
    <w:rsid w:val="003427B5"/>
    <w:rsid w:val="00343800"/>
    <w:rsid w:val="00344F4E"/>
    <w:rsid w:val="00346157"/>
    <w:rsid w:val="003514C0"/>
    <w:rsid w:val="00352C38"/>
    <w:rsid w:val="003537B9"/>
    <w:rsid w:val="00356C2D"/>
    <w:rsid w:val="00356FCA"/>
    <w:rsid w:val="0036141B"/>
    <w:rsid w:val="00362243"/>
    <w:rsid w:val="00363B81"/>
    <w:rsid w:val="00363C64"/>
    <w:rsid w:val="00364748"/>
    <w:rsid w:val="00365A1C"/>
    <w:rsid w:val="003702B0"/>
    <w:rsid w:val="003730B1"/>
    <w:rsid w:val="00373207"/>
    <w:rsid w:val="003744AA"/>
    <w:rsid w:val="00374922"/>
    <w:rsid w:val="00375017"/>
    <w:rsid w:val="00380093"/>
    <w:rsid w:val="00380CE9"/>
    <w:rsid w:val="00381460"/>
    <w:rsid w:val="00381518"/>
    <w:rsid w:val="00381A74"/>
    <w:rsid w:val="00381FE5"/>
    <w:rsid w:val="003831F4"/>
    <w:rsid w:val="003833C4"/>
    <w:rsid w:val="003841A1"/>
    <w:rsid w:val="003877C4"/>
    <w:rsid w:val="0038784A"/>
    <w:rsid w:val="00387ECC"/>
    <w:rsid w:val="00392228"/>
    <w:rsid w:val="00393043"/>
    <w:rsid w:val="003945FC"/>
    <w:rsid w:val="0039461C"/>
    <w:rsid w:val="00395656"/>
    <w:rsid w:val="003957D2"/>
    <w:rsid w:val="00396724"/>
    <w:rsid w:val="0039701D"/>
    <w:rsid w:val="003A0828"/>
    <w:rsid w:val="003A155B"/>
    <w:rsid w:val="003A2AAC"/>
    <w:rsid w:val="003A2AD0"/>
    <w:rsid w:val="003A2D4F"/>
    <w:rsid w:val="003A3D3A"/>
    <w:rsid w:val="003A5E74"/>
    <w:rsid w:val="003A680A"/>
    <w:rsid w:val="003A784B"/>
    <w:rsid w:val="003A79A4"/>
    <w:rsid w:val="003A7A32"/>
    <w:rsid w:val="003B12CA"/>
    <w:rsid w:val="003B5A72"/>
    <w:rsid w:val="003B6DC8"/>
    <w:rsid w:val="003B6F7E"/>
    <w:rsid w:val="003B77A3"/>
    <w:rsid w:val="003C0328"/>
    <w:rsid w:val="003C37EB"/>
    <w:rsid w:val="003C459B"/>
    <w:rsid w:val="003C4B1B"/>
    <w:rsid w:val="003C4C4E"/>
    <w:rsid w:val="003C4F23"/>
    <w:rsid w:val="003C5E5B"/>
    <w:rsid w:val="003C6EB3"/>
    <w:rsid w:val="003C7D1B"/>
    <w:rsid w:val="003D0755"/>
    <w:rsid w:val="003D09E0"/>
    <w:rsid w:val="003D21A6"/>
    <w:rsid w:val="003D3575"/>
    <w:rsid w:val="003D387B"/>
    <w:rsid w:val="003D4293"/>
    <w:rsid w:val="003D4FDE"/>
    <w:rsid w:val="003D5B8B"/>
    <w:rsid w:val="003D6028"/>
    <w:rsid w:val="003D643D"/>
    <w:rsid w:val="003D6B45"/>
    <w:rsid w:val="003E00D4"/>
    <w:rsid w:val="003E2192"/>
    <w:rsid w:val="003E242A"/>
    <w:rsid w:val="003E3A9B"/>
    <w:rsid w:val="003E56FF"/>
    <w:rsid w:val="003E6C46"/>
    <w:rsid w:val="003E763C"/>
    <w:rsid w:val="003E7E8A"/>
    <w:rsid w:val="003F063A"/>
    <w:rsid w:val="003F06C4"/>
    <w:rsid w:val="003F09C3"/>
    <w:rsid w:val="003F16B6"/>
    <w:rsid w:val="003F1DAF"/>
    <w:rsid w:val="003F3649"/>
    <w:rsid w:val="003F3F52"/>
    <w:rsid w:val="003F7B8E"/>
    <w:rsid w:val="003F7ECC"/>
    <w:rsid w:val="004003DD"/>
    <w:rsid w:val="00400C4E"/>
    <w:rsid w:val="00401A8A"/>
    <w:rsid w:val="00401E4E"/>
    <w:rsid w:val="004044D0"/>
    <w:rsid w:val="00404B18"/>
    <w:rsid w:val="004062D6"/>
    <w:rsid w:val="00410EE5"/>
    <w:rsid w:val="0041103A"/>
    <w:rsid w:val="00411EAE"/>
    <w:rsid w:val="00412360"/>
    <w:rsid w:val="00412CA8"/>
    <w:rsid w:val="004135CB"/>
    <w:rsid w:val="0041361F"/>
    <w:rsid w:val="00413739"/>
    <w:rsid w:val="00414BF1"/>
    <w:rsid w:val="004218EA"/>
    <w:rsid w:val="00422D12"/>
    <w:rsid w:val="00425F3C"/>
    <w:rsid w:val="00426AC9"/>
    <w:rsid w:val="00426C39"/>
    <w:rsid w:val="00426E50"/>
    <w:rsid w:val="00427955"/>
    <w:rsid w:val="00430048"/>
    <w:rsid w:val="004301C1"/>
    <w:rsid w:val="00430A19"/>
    <w:rsid w:val="00430D66"/>
    <w:rsid w:val="0043189B"/>
    <w:rsid w:val="00431DBB"/>
    <w:rsid w:val="00433835"/>
    <w:rsid w:val="00433C0A"/>
    <w:rsid w:val="00433DAC"/>
    <w:rsid w:val="00434BB1"/>
    <w:rsid w:val="00434C5B"/>
    <w:rsid w:val="004357A3"/>
    <w:rsid w:val="00436830"/>
    <w:rsid w:val="00436F7B"/>
    <w:rsid w:val="00440F31"/>
    <w:rsid w:val="004413D9"/>
    <w:rsid w:val="00441516"/>
    <w:rsid w:val="00442E5C"/>
    <w:rsid w:val="004444FD"/>
    <w:rsid w:val="00444946"/>
    <w:rsid w:val="00444E4E"/>
    <w:rsid w:val="00445A57"/>
    <w:rsid w:val="004462B6"/>
    <w:rsid w:val="00446F5C"/>
    <w:rsid w:val="0044748D"/>
    <w:rsid w:val="0045058D"/>
    <w:rsid w:val="00451560"/>
    <w:rsid w:val="00451A95"/>
    <w:rsid w:val="00453D3D"/>
    <w:rsid w:val="00453D76"/>
    <w:rsid w:val="004562C5"/>
    <w:rsid w:val="00456C86"/>
    <w:rsid w:val="0046058F"/>
    <w:rsid w:val="00462A32"/>
    <w:rsid w:val="004635B9"/>
    <w:rsid w:val="0046398F"/>
    <w:rsid w:val="00465206"/>
    <w:rsid w:val="0046724D"/>
    <w:rsid w:val="0046744D"/>
    <w:rsid w:val="00467796"/>
    <w:rsid w:val="00470BD9"/>
    <w:rsid w:val="00471C6E"/>
    <w:rsid w:val="004728E5"/>
    <w:rsid w:val="00473157"/>
    <w:rsid w:val="004748C3"/>
    <w:rsid w:val="0047508B"/>
    <w:rsid w:val="004753AD"/>
    <w:rsid w:val="00480269"/>
    <w:rsid w:val="00481225"/>
    <w:rsid w:val="0048186C"/>
    <w:rsid w:val="00484C75"/>
    <w:rsid w:val="004863B4"/>
    <w:rsid w:val="00487927"/>
    <w:rsid w:val="004918C1"/>
    <w:rsid w:val="004925E8"/>
    <w:rsid w:val="00492D3F"/>
    <w:rsid w:val="0049334A"/>
    <w:rsid w:val="00496518"/>
    <w:rsid w:val="004A0BD8"/>
    <w:rsid w:val="004A1A7C"/>
    <w:rsid w:val="004A20B7"/>
    <w:rsid w:val="004A2426"/>
    <w:rsid w:val="004A24B8"/>
    <w:rsid w:val="004A3A22"/>
    <w:rsid w:val="004A4805"/>
    <w:rsid w:val="004A4C80"/>
    <w:rsid w:val="004A56F2"/>
    <w:rsid w:val="004A69A3"/>
    <w:rsid w:val="004A6D2B"/>
    <w:rsid w:val="004A7229"/>
    <w:rsid w:val="004A7713"/>
    <w:rsid w:val="004B025E"/>
    <w:rsid w:val="004B043D"/>
    <w:rsid w:val="004B058D"/>
    <w:rsid w:val="004B0664"/>
    <w:rsid w:val="004B0C85"/>
    <w:rsid w:val="004B2535"/>
    <w:rsid w:val="004B31E9"/>
    <w:rsid w:val="004B5B83"/>
    <w:rsid w:val="004B6805"/>
    <w:rsid w:val="004B7E2F"/>
    <w:rsid w:val="004C1BC5"/>
    <w:rsid w:val="004C368F"/>
    <w:rsid w:val="004C5A31"/>
    <w:rsid w:val="004C7B1B"/>
    <w:rsid w:val="004D073A"/>
    <w:rsid w:val="004D344D"/>
    <w:rsid w:val="004D5DB9"/>
    <w:rsid w:val="004D6AF2"/>
    <w:rsid w:val="004D6D9A"/>
    <w:rsid w:val="004E0261"/>
    <w:rsid w:val="004E0321"/>
    <w:rsid w:val="004E09A7"/>
    <w:rsid w:val="004E0A88"/>
    <w:rsid w:val="004E0FED"/>
    <w:rsid w:val="004E155D"/>
    <w:rsid w:val="004E2920"/>
    <w:rsid w:val="004E3A04"/>
    <w:rsid w:val="004E3CA8"/>
    <w:rsid w:val="004E55C3"/>
    <w:rsid w:val="004E5AF1"/>
    <w:rsid w:val="004E675B"/>
    <w:rsid w:val="004F54AB"/>
    <w:rsid w:val="005028AE"/>
    <w:rsid w:val="005040F8"/>
    <w:rsid w:val="005061E4"/>
    <w:rsid w:val="00510BF9"/>
    <w:rsid w:val="00511AED"/>
    <w:rsid w:val="005127C4"/>
    <w:rsid w:val="0051509A"/>
    <w:rsid w:val="00515826"/>
    <w:rsid w:val="00515C6E"/>
    <w:rsid w:val="00515DBD"/>
    <w:rsid w:val="00516966"/>
    <w:rsid w:val="005171A2"/>
    <w:rsid w:val="0051773F"/>
    <w:rsid w:val="00517B49"/>
    <w:rsid w:val="00521A85"/>
    <w:rsid w:val="00522D92"/>
    <w:rsid w:val="00523876"/>
    <w:rsid w:val="005272DF"/>
    <w:rsid w:val="00531CE4"/>
    <w:rsid w:val="00532DD7"/>
    <w:rsid w:val="005338C5"/>
    <w:rsid w:val="00533AC1"/>
    <w:rsid w:val="00534897"/>
    <w:rsid w:val="00535B0E"/>
    <w:rsid w:val="00535D92"/>
    <w:rsid w:val="00535E6B"/>
    <w:rsid w:val="00542B15"/>
    <w:rsid w:val="00542CE4"/>
    <w:rsid w:val="00542E97"/>
    <w:rsid w:val="00545B35"/>
    <w:rsid w:val="00546803"/>
    <w:rsid w:val="00546F3C"/>
    <w:rsid w:val="005513EB"/>
    <w:rsid w:val="00552708"/>
    <w:rsid w:val="00553562"/>
    <w:rsid w:val="00556A5E"/>
    <w:rsid w:val="00557BE5"/>
    <w:rsid w:val="00561AF1"/>
    <w:rsid w:val="005631C5"/>
    <w:rsid w:val="00563D51"/>
    <w:rsid w:val="0056429B"/>
    <w:rsid w:val="00565C06"/>
    <w:rsid w:val="0056627C"/>
    <w:rsid w:val="0056693B"/>
    <w:rsid w:val="005700C2"/>
    <w:rsid w:val="005703E4"/>
    <w:rsid w:val="0057264F"/>
    <w:rsid w:val="00573130"/>
    <w:rsid w:val="00573DC2"/>
    <w:rsid w:val="00576AD7"/>
    <w:rsid w:val="00580A48"/>
    <w:rsid w:val="00580BEB"/>
    <w:rsid w:val="0058198B"/>
    <w:rsid w:val="00583C13"/>
    <w:rsid w:val="0058551C"/>
    <w:rsid w:val="00586FBF"/>
    <w:rsid w:val="0058735B"/>
    <w:rsid w:val="0058798A"/>
    <w:rsid w:val="00587A65"/>
    <w:rsid w:val="00591F67"/>
    <w:rsid w:val="00595416"/>
    <w:rsid w:val="00595CEE"/>
    <w:rsid w:val="0059645A"/>
    <w:rsid w:val="00597759"/>
    <w:rsid w:val="005A28A4"/>
    <w:rsid w:val="005A37D0"/>
    <w:rsid w:val="005A4839"/>
    <w:rsid w:val="005A7468"/>
    <w:rsid w:val="005A7CEB"/>
    <w:rsid w:val="005B104D"/>
    <w:rsid w:val="005B180C"/>
    <w:rsid w:val="005B314A"/>
    <w:rsid w:val="005B3925"/>
    <w:rsid w:val="005B6544"/>
    <w:rsid w:val="005B789B"/>
    <w:rsid w:val="005C07CA"/>
    <w:rsid w:val="005C192F"/>
    <w:rsid w:val="005C2319"/>
    <w:rsid w:val="005C26AA"/>
    <w:rsid w:val="005C4015"/>
    <w:rsid w:val="005C48EE"/>
    <w:rsid w:val="005C54B4"/>
    <w:rsid w:val="005C7255"/>
    <w:rsid w:val="005C7ED6"/>
    <w:rsid w:val="005D03B8"/>
    <w:rsid w:val="005D0588"/>
    <w:rsid w:val="005D1D8B"/>
    <w:rsid w:val="005D2E07"/>
    <w:rsid w:val="005D5653"/>
    <w:rsid w:val="005D60B6"/>
    <w:rsid w:val="005D6338"/>
    <w:rsid w:val="005D67A5"/>
    <w:rsid w:val="005D6CC4"/>
    <w:rsid w:val="005D709E"/>
    <w:rsid w:val="005D7EAB"/>
    <w:rsid w:val="005E0C14"/>
    <w:rsid w:val="005E0F6C"/>
    <w:rsid w:val="005E3438"/>
    <w:rsid w:val="005E4ADE"/>
    <w:rsid w:val="005E6D34"/>
    <w:rsid w:val="005F1DAF"/>
    <w:rsid w:val="005F225E"/>
    <w:rsid w:val="005F2A17"/>
    <w:rsid w:val="005F2DBD"/>
    <w:rsid w:val="005F49B6"/>
    <w:rsid w:val="005F4F4E"/>
    <w:rsid w:val="005F512B"/>
    <w:rsid w:val="005F5C88"/>
    <w:rsid w:val="005F67CE"/>
    <w:rsid w:val="005F6EAC"/>
    <w:rsid w:val="00600756"/>
    <w:rsid w:val="006013A3"/>
    <w:rsid w:val="006015D4"/>
    <w:rsid w:val="00601821"/>
    <w:rsid w:val="00602923"/>
    <w:rsid w:val="006030F6"/>
    <w:rsid w:val="006046CA"/>
    <w:rsid w:val="00604C7E"/>
    <w:rsid w:val="00606344"/>
    <w:rsid w:val="006063B5"/>
    <w:rsid w:val="006074E6"/>
    <w:rsid w:val="006115D1"/>
    <w:rsid w:val="00611F32"/>
    <w:rsid w:val="00611F64"/>
    <w:rsid w:val="0061244F"/>
    <w:rsid w:val="006144DD"/>
    <w:rsid w:val="00615ED4"/>
    <w:rsid w:val="00617027"/>
    <w:rsid w:val="00617D0B"/>
    <w:rsid w:val="00620E15"/>
    <w:rsid w:val="00620EC1"/>
    <w:rsid w:val="00621291"/>
    <w:rsid w:val="0062180D"/>
    <w:rsid w:val="006221E6"/>
    <w:rsid w:val="00622869"/>
    <w:rsid w:val="00623E52"/>
    <w:rsid w:val="00630B1D"/>
    <w:rsid w:val="00631AA2"/>
    <w:rsid w:val="00631DE9"/>
    <w:rsid w:val="0063220E"/>
    <w:rsid w:val="0063279B"/>
    <w:rsid w:val="00634489"/>
    <w:rsid w:val="0063476C"/>
    <w:rsid w:val="006370BD"/>
    <w:rsid w:val="00637C24"/>
    <w:rsid w:val="006400DC"/>
    <w:rsid w:val="00640F7A"/>
    <w:rsid w:val="006418F3"/>
    <w:rsid w:val="00641BB9"/>
    <w:rsid w:val="0064220F"/>
    <w:rsid w:val="00642A32"/>
    <w:rsid w:val="00642C9B"/>
    <w:rsid w:val="006433DC"/>
    <w:rsid w:val="00643AFF"/>
    <w:rsid w:val="00643E57"/>
    <w:rsid w:val="0064441E"/>
    <w:rsid w:val="006446A5"/>
    <w:rsid w:val="00644A86"/>
    <w:rsid w:val="00646421"/>
    <w:rsid w:val="00647471"/>
    <w:rsid w:val="00647F08"/>
    <w:rsid w:val="0065030A"/>
    <w:rsid w:val="006509A3"/>
    <w:rsid w:val="00650A7D"/>
    <w:rsid w:val="006510DF"/>
    <w:rsid w:val="006521C5"/>
    <w:rsid w:val="006542F5"/>
    <w:rsid w:val="006545B3"/>
    <w:rsid w:val="006553E2"/>
    <w:rsid w:val="006572F8"/>
    <w:rsid w:val="00657C74"/>
    <w:rsid w:val="00660AD4"/>
    <w:rsid w:val="00662234"/>
    <w:rsid w:val="006624C7"/>
    <w:rsid w:val="00663BE8"/>
    <w:rsid w:val="0066453E"/>
    <w:rsid w:val="00664B67"/>
    <w:rsid w:val="00665F89"/>
    <w:rsid w:val="0066695D"/>
    <w:rsid w:val="00666D0C"/>
    <w:rsid w:val="0066784F"/>
    <w:rsid w:val="0066793B"/>
    <w:rsid w:val="00670D5D"/>
    <w:rsid w:val="00672400"/>
    <w:rsid w:val="00673E53"/>
    <w:rsid w:val="006757E1"/>
    <w:rsid w:val="00677414"/>
    <w:rsid w:val="00680257"/>
    <w:rsid w:val="006811DD"/>
    <w:rsid w:val="00681C21"/>
    <w:rsid w:val="006820A3"/>
    <w:rsid w:val="00682135"/>
    <w:rsid w:val="00683742"/>
    <w:rsid w:val="006849AD"/>
    <w:rsid w:val="00685387"/>
    <w:rsid w:val="00686050"/>
    <w:rsid w:val="0068649C"/>
    <w:rsid w:val="006864CB"/>
    <w:rsid w:val="00690DA4"/>
    <w:rsid w:val="00692D23"/>
    <w:rsid w:val="006942D8"/>
    <w:rsid w:val="006943A3"/>
    <w:rsid w:val="00694618"/>
    <w:rsid w:val="0069602D"/>
    <w:rsid w:val="0069609D"/>
    <w:rsid w:val="00696E23"/>
    <w:rsid w:val="00697190"/>
    <w:rsid w:val="006971F0"/>
    <w:rsid w:val="00697477"/>
    <w:rsid w:val="00697C12"/>
    <w:rsid w:val="00697E92"/>
    <w:rsid w:val="006A12B2"/>
    <w:rsid w:val="006A1609"/>
    <w:rsid w:val="006A1E93"/>
    <w:rsid w:val="006A313B"/>
    <w:rsid w:val="006A49C9"/>
    <w:rsid w:val="006A5330"/>
    <w:rsid w:val="006A6950"/>
    <w:rsid w:val="006B093F"/>
    <w:rsid w:val="006B0AA9"/>
    <w:rsid w:val="006B0C75"/>
    <w:rsid w:val="006B0CEF"/>
    <w:rsid w:val="006B1F03"/>
    <w:rsid w:val="006B2B2D"/>
    <w:rsid w:val="006B5E8E"/>
    <w:rsid w:val="006B5F91"/>
    <w:rsid w:val="006B61DC"/>
    <w:rsid w:val="006B64B4"/>
    <w:rsid w:val="006B75C2"/>
    <w:rsid w:val="006C1691"/>
    <w:rsid w:val="006C2E72"/>
    <w:rsid w:val="006C3663"/>
    <w:rsid w:val="006C48C5"/>
    <w:rsid w:val="006C5792"/>
    <w:rsid w:val="006C74AA"/>
    <w:rsid w:val="006C79C7"/>
    <w:rsid w:val="006C7B32"/>
    <w:rsid w:val="006C7C7E"/>
    <w:rsid w:val="006D00E5"/>
    <w:rsid w:val="006D0A55"/>
    <w:rsid w:val="006D0AE6"/>
    <w:rsid w:val="006D0B64"/>
    <w:rsid w:val="006D183A"/>
    <w:rsid w:val="006D5EDE"/>
    <w:rsid w:val="006D6549"/>
    <w:rsid w:val="006D7818"/>
    <w:rsid w:val="006D7BE2"/>
    <w:rsid w:val="006E0532"/>
    <w:rsid w:val="006E0E09"/>
    <w:rsid w:val="006E5D7D"/>
    <w:rsid w:val="006E6BB0"/>
    <w:rsid w:val="006F10E0"/>
    <w:rsid w:val="006F1162"/>
    <w:rsid w:val="006F31C4"/>
    <w:rsid w:val="006F3ADF"/>
    <w:rsid w:val="006F5114"/>
    <w:rsid w:val="006F6510"/>
    <w:rsid w:val="006F6E37"/>
    <w:rsid w:val="00700451"/>
    <w:rsid w:val="00701FD7"/>
    <w:rsid w:val="00702360"/>
    <w:rsid w:val="00704E18"/>
    <w:rsid w:val="00704EB1"/>
    <w:rsid w:val="00705C4A"/>
    <w:rsid w:val="0070665D"/>
    <w:rsid w:val="00706A7B"/>
    <w:rsid w:val="00711D1D"/>
    <w:rsid w:val="007126DE"/>
    <w:rsid w:val="00714067"/>
    <w:rsid w:val="00714B9F"/>
    <w:rsid w:val="00715682"/>
    <w:rsid w:val="00715B47"/>
    <w:rsid w:val="00716505"/>
    <w:rsid w:val="0071656C"/>
    <w:rsid w:val="00716C3D"/>
    <w:rsid w:val="0072075F"/>
    <w:rsid w:val="007209BE"/>
    <w:rsid w:val="00720A6F"/>
    <w:rsid w:val="0072224C"/>
    <w:rsid w:val="00723506"/>
    <w:rsid w:val="0072404B"/>
    <w:rsid w:val="00724621"/>
    <w:rsid w:val="00724E85"/>
    <w:rsid w:val="0072541B"/>
    <w:rsid w:val="00725976"/>
    <w:rsid w:val="00726B8D"/>
    <w:rsid w:val="00727A23"/>
    <w:rsid w:val="00727ABB"/>
    <w:rsid w:val="007302F8"/>
    <w:rsid w:val="007322D7"/>
    <w:rsid w:val="00734517"/>
    <w:rsid w:val="007355E7"/>
    <w:rsid w:val="00737347"/>
    <w:rsid w:val="007375B5"/>
    <w:rsid w:val="00737797"/>
    <w:rsid w:val="00737F55"/>
    <w:rsid w:val="007428F8"/>
    <w:rsid w:val="007438D3"/>
    <w:rsid w:val="007441C5"/>
    <w:rsid w:val="007446AA"/>
    <w:rsid w:val="00745E83"/>
    <w:rsid w:val="00746A4E"/>
    <w:rsid w:val="00751EB1"/>
    <w:rsid w:val="00754E4D"/>
    <w:rsid w:val="00754FF1"/>
    <w:rsid w:val="00757ED2"/>
    <w:rsid w:val="00761449"/>
    <w:rsid w:val="00764B5F"/>
    <w:rsid w:val="00765808"/>
    <w:rsid w:val="00766B04"/>
    <w:rsid w:val="00766F61"/>
    <w:rsid w:val="0076797C"/>
    <w:rsid w:val="00767CBA"/>
    <w:rsid w:val="007737D3"/>
    <w:rsid w:val="00774DCE"/>
    <w:rsid w:val="007761C9"/>
    <w:rsid w:val="0077635B"/>
    <w:rsid w:val="00780FD4"/>
    <w:rsid w:val="007818D6"/>
    <w:rsid w:val="00782B82"/>
    <w:rsid w:val="00782D5B"/>
    <w:rsid w:val="00785486"/>
    <w:rsid w:val="0078593D"/>
    <w:rsid w:val="00787E43"/>
    <w:rsid w:val="00787E54"/>
    <w:rsid w:val="0079022F"/>
    <w:rsid w:val="0079108F"/>
    <w:rsid w:val="007912D4"/>
    <w:rsid w:val="007925C5"/>
    <w:rsid w:val="00792EF7"/>
    <w:rsid w:val="007934C2"/>
    <w:rsid w:val="00794AFC"/>
    <w:rsid w:val="0079717B"/>
    <w:rsid w:val="007A0E2A"/>
    <w:rsid w:val="007A1D29"/>
    <w:rsid w:val="007A244F"/>
    <w:rsid w:val="007A2729"/>
    <w:rsid w:val="007A3F9B"/>
    <w:rsid w:val="007B265D"/>
    <w:rsid w:val="007B3224"/>
    <w:rsid w:val="007B36CF"/>
    <w:rsid w:val="007B4227"/>
    <w:rsid w:val="007B4EA6"/>
    <w:rsid w:val="007B5042"/>
    <w:rsid w:val="007B54F1"/>
    <w:rsid w:val="007C0E30"/>
    <w:rsid w:val="007C18AF"/>
    <w:rsid w:val="007C1994"/>
    <w:rsid w:val="007C2DBD"/>
    <w:rsid w:val="007C3800"/>
    <w:rsid w:val="007C513F"/>
    <w:rsid w:val="007C64F2"/>
    <w:rsid w:val="007C7848"/>
    <w:rsid w:val="007D0741"/>
    <w:rsid w:val="007D2591"/>
    <w:rsid w:val="007D3703"/>
    <w:rsid w:val="007D4C80"/>
    <w:rsid w:val="007D566F"/>
    <w:rsid w:val="007D607C"/>
    <w:rsid w:val="007E1135"/>
    <w:rsid w:val="007E1881"/>
    <w:rsid w:val="007E507B"/>
    <w:rsid w:val="007E57E2"/>
    <w:rsid w:val="007E6C98"/>
    <w:rsid w:val="007F0480"/>
    <w:rsid w:val="007F07DC"/>
    <w:rsid w:val="007F0857"/>
    <w:rsid w:val="007F0D70"/>
    <w:rsid w:val="007F14EF"/>
    <w:rsid w:val="007F1E5B"/>
    <w:rsid w:val="007F2153"/>
    <w:rsid w:val="007F2988"/>
    <w:rsid w:val="007F2F1D"/>
    <w:rsid w:val="007F4877"/>
    <w:rsid w:val="007F6E36"/>
    <w:rsid w:val="0080044D"/>
    <w:rsid w:val="00800D7D"/>
    <w:rsid w:val="008011A0"/>
    <w:rsid w:val="00801A11"/>
    <w:rsid w:val="00801B13"/>
    <w:rsid w:val="0080279E"/>
    <w:rsid w:val="00803A74"/>
    <w:rsid w:val="00805570"/>
    <w:rsid w:val="00810E5A"/>
    <w:rsid w:val="00811342"/>
    <w:rsid w:val="00814670"/>
    <w:rsid w:val="00815B3C"/>
    <w:rsid w:val="00817883"/>
    <w:rsid w:val="008214EB"/>
    <w:rsid w:val="00824957"/>
    <w:rsid w:val="00824960"/>
    <w:rsid w:val="0082562C"/>
    <w:rsid w:val="00830145"/>
    <w:rsid w:val="00831C4B"/>
    <w:rsid w:val="00831F23"/>
    <w:rsid w:val="00833666"/>
    <w:rsid w:val="008338DB"/>
    <w:rsid w:val="00834372"/>
    <w:rsid w:val="0083437A"/>
    <w:rsid w:val="00835F0F"/>
    <w:rsid w:val="008360F1"/>
    <w:rsid w:val="00837437"/>
    <w:rsid w:val="008375E8"/>
    <w:rsid w:val="008405B8"/>
    <w:rsid w:val="00841637"/>
    <w:rsid w:val="00842336"/>
    <w:rsid w:val="00843764"/>
    <w:rsid w:val="00843820"/>
    <w:rsid w:val="00844DED"/>
    <w:rsid w:val="00845937"/>
    <w:rsid w:val="00846168"/>
    <w:rsid w:val="0084665B"/>
    <w:rsid w:val="008477ED"/>
    <w:rsid w:val="008513F5"/>
    <w:rsid w:val="00851D3F"/>
    <w:rsid w:val="00852841"/>
    <w:rsid w:val="00855F89"/>
    <w:rsid w:val="0085602A"/>
    <w:rsid w:val="008572D8"/>
    <w:rsid w:val="00861572"/>
    <w:rsid w:val="00861886"/>
    <w:rsid w:val="00861CF2"/>
    <w:rsid w:val="008635F2"/>
    <w:rsid w:val="00864785"/>
    <w:rsid w:val="00864A00"/>
    <w:rsid w:val="00864E56"/>
    <w:rsid w:val="0086540A"/>
    <w:rsid w:val="0086575A"/>
    <w:rsid w:val="00866137"/>
    <w:rsid w:val="008662A1"/>
    <w:rsid w:val="00866E36"/>
    <w:rsid w:val="00867B7C"/>
    <w:rsid w:val="00873166"/>
    <w:rsid w:val="00873324"/>
    <w:rsid w:val="00873850"/>
    <w:rsid w:val="008745CC"/>
    <w:rsid w:val="00874B4F"/>
    <w:rsid w:val="00880916"/>
    <w:rsid w:val="00880CA8"/>
    <w:rsid w:val="008812B4"/>
    <w:rsid w:val="00881CC4"/>
    <w:rsid w:val="00882105"/>
    <w:rsid w:val="008829CB"/>
    <w:rsid w:val="00883F78"/>
    <w:rsid w:val="00883F82"/>
    <w:rsid w:val="0088412A"/>
    <w:rsid w:val="008853D4"/>
    <w:rsid w:val="00891559"/>
    <w:rsid w:val="00891AD7"/>
    <w:rsid w:val="00893948"/>
    <w:rsid w:val="0089430B"/>
    <w:rsid w:val="00895904"/>
    <w:rsid w:val="0089597F"/>
    <w:rsid w:val="008964F1"/>
    <w:rsid w:val="008A07A3"/>
    <w:rsid w:val="008A07B1"/>
    <w:rsid w:val="008A1942"/>
    <w:rsid w:val="008A1E51"/>
    <w:rsid w:val="008A20F3"/>
    <w:rsid w:val="008A2564"/>
    <w:rsid w:val="008A57CB"/>
    <w:rsid w:val="008A5CEB"/>
    <w:rsid w:val="008A6400"/>
    <w:rsid w:val="008A6EA4"/>
    <w:rsid w:val="008A75FF"/>
    <w:rsid w:val="008A7E9E"/>
    <w:rsid w:val="008B022C"/>
    <w:rsid w:val="008B1563"/>
    <w:rsid w:val="008B1878"/>
    <w:rsid w:val="008B219A"/>
    <w:rsid w:val="008B244A"/>
    <w:rsid w:val="008B2D7E"/>
    <w:rsid w:val="008B3F8A"/>
    <w:rsid w:val="008B62A9"/>
    <w:rsid w:val="008B736E"/>
    <w:rsid w:val="008B7A26"/>
    <w:rsid w:val="008C2126"/>
    <w:rsid w:val="008C215D"/>
    <w:rsid w:val="008C2BD6"/>
    <w:rsid w:val="008C2D78"/>
    <w:rsid w:val="008C3EC1"/>
    <w:rsid w:val="008C43A6"/>
    <w:rsid w:val="008C6BBE"/>
    <w:rsid w:val="008D22D3"/>
    <w:rsid w:val="008D37C2"/>
    <w:rsid w:val="008D3CF2"/>
    <w:rsid w:val="008D3CFB"/>
    <w:rsid w:val="008D68BA"/>
    <w:rsid w:val="008E0982"/>
    <w:rsid w:val="008E1DFE"/>
    <w:rsid w:val="008E3034"/>
    <w:rsid w:val="008E4E8D"/>
    <w:rsid w:val="008E5163"/>
    <w:rsid w:val="008E69AF"/>
    <w:rsid w:val="008E6BB0"/>
    <w:rsid w:val="008E6E0B"/>
    <w:rsid w:val="008F0264"/>
    <w:rsid w:val="008F2A8C"/>
    <w:rsid w:val="008F5987"/>
    <w:rsid w:val="008F6192"/>
    <w:rsid w:val="008F62F3"/>
    <w:rsid w:val="008F6A27"/>
    <w:rsid w:val="008F6C11"/>
    <w:rsid w:val="008F7226"/>
    <w:rsid w:val="008F7A48"/>
    <w:rsid w:val="0090378E"/>
    <w:rsid w:val="009037F1"/>
    <w:rsid w:val="00903DBB"/>
    <w:rsid w:val="00903F18"/>
    <w:rsid w:val="009040E8"/>
    <w:rsid w:val="0090459F"/>
    <w:rsid w:val="00904A0B"/>
    <w:rsid w:val="009058B1"/>
    <w:rsid w:val="00905E73"/>
    <w:rsid w:val="009065A4"/>
    <w:rsid w:val="009076A6"/>
    <w:rsid w:val="0091138B"/>
    <w:rsid w:val="009117B2"/>
    <w:rsid w:val="00911F3B"/>
    <w:rsid w:val="00915E77"/>
    <w:rsid w:val="0091705C"/>
    <w:rsid w:val="009200CC"/>
    <w:rsid w:val="00920382"/>
    <w:rsid w:val="00924B14"/>
    <w:rsid w:val="009258DE"/>
    <w:rsid w:val="0093007E"/>
    <w:rsid w:val="00930526"/>
    <w:rsid w:val="00930E4B"/>
    <w:rsid w:val="00933B42"/>
    <w:rsid w:val="00934012"/>
    <w:rsid w:val="009349AB"/>
    <w:rsid w:val="00935073"/>
    <w:rsid w:val="0093558D"/>
    <w:rsid w:val="009356C6"/>
    <w:rsid w:val="00936BE3"/>
    <w:rsid w:val="00937162"/>
    <w:rsid w:val="00937E94"/>
    <w:rsid w:val="0094117B"/>
    <w:rsid w:val="009423A7"/>
    <w:rsid w:val="00942B65"/>
    <w:rsid w:val="00943A2A"/>
    <w:rsid w:val="009445F1"/>
    <w:rsid w:val="00944B31"/>
    <w:rsid w:val="0094632B"/>
    <w:rsid w:val="00946E5D"/>
    <w:rsid w:val="00947CA1"/>
    <w:rsid w:val="009505F7"/>
    <w:rsid w:val="0095151E"/>
    <w:rsid w:val="00952438"/>
    <w:rsid w:val="00952B12"/>
    <w:rsid w:val="0095358F"/>
    <w:rsid w:val="00954835"/>
    <w:rsid w:val="00954B17"/>
    <w:rsid w:val="00955056"/>
    <w:rsid w:val="00956F6F"/>
    <w:rsid w:val="0095732D"/>
    <w:rsid w:val="009617B0"/>
    <w:rsid w:val="009617C0"/>
    <w:rsid w:val="009640CF"/>
    <w:rsid w:val="00964BCF"/>
    <w:rsid w:val="00965730"/>
    <w:rsid w:val="009660BD"/>
    <w:rsid w:val="009663B1"/>
    <w:rsid w:val="00966614"/>
    <w:rsid w:val="00970FEA"/>
    <w:rsid w:val="0097174A"/>
    <w:rsid w:val="00971C28"/>
    <w:rsid w:val="00971FF5"/>
    <w:rsid w:val="00972868"/>
    <w:rsid w:val="0097348D"/>
    <w:rsid w:val="00973753"/>
    <w:rsid w:val="00973938"/>
    <w:rsid w:val="009749F3"/>
    <w:rsid w:val="009763CA"/>
    <w:rsid w:val="00976771"/>
    <w:rsid w:val="0097688D"/>
    <w:rsid w:val="009812C3"/>
    <w:rsid w:val="009835C3"/>
    <w:rsid w:val="0098486F"/>
    <w:rsid w:val="0098498F"/>
    <w:rsid w:val="00985414"/>
    <w:rsid w:val="00985691"/>
    <w:rsid w:val="00985C69"/>
    <w:rsid w:val="00986807"/>
    <w:rsid w:val="009873A6"/>
    <w:rsid w:val="00991217"/>
    <w:rsid w:val="00991315"/>
    <w:rsid w:val="00992001"/>
    <w:rsid w:val="00995212"/>
    <w:rsid w:val="009A06C9"/>
    <w:rsid w:val="009A1BBA"/>
    <w:rsid w:val="009A1D67"/>
    <w:rsid w:val="009A2F25"/>
    <w:rsid w:val="009A3E12"/>
    <w:rsid w:val="009A457A"/>
    <w:rsid w:val="009A4817"/>
    <w:rsid w:val="009A573D"/>
    <w:rsid w:val="009A7E77"/>
    <w:rsid w:val="009B057B"/>
    <w:rsid w:val="009B1194"/>
    <w:rsid w:val="009B5BE2"/>
    <w:rsid w:val="009C0B17"/>
    <w:rsid w:val="009C0C0D"/>
    <w:rsid w:val="009C18D5"/>
    <w:rsid w:val="009C4B2F"/>
    <w:rsid w:val="009D0106"/>
    <w:rsid w:val="009D0BE6"/>
    <w:rsid w:val="009D1A0F"/>
    <w:rsid w:val="009D2144"/>
    <w:rsid w:val="009D3149"/>
    <w:rsid w:val="009D3D6C"/>
    <w:rsid w:val="009D4E57"/>
    <w:rsid w:val="009D5D3F"/>
    <w:rsid w:val="009D6774"/>
    <w:rsid w:val="009D78EB"/>
    <w:rsid w:val="009E0BBA"/>
    <w:rsid w:val="009E139B"/>
    <w:rsid w:val="009E1737"/>
    <w:rsid w:val="009E1DE4"/>
    <w:rsid w:val="009E2194"/>
    <w:rsid w:val="009E490F"/>
    <w:rsid w:val="009E5182"/>
    <w:rsid w:val="009E54F8"/>
    <w:rsid w:val="009E57C5"/>
    <w:rsid w:val="009E59D0"/>
    <w:rsid w:val="009F0883"/>
    <w:rsid w:val="009F0A72"/>
    <w:rsid w:val="009F0E4C"/>
    <w:rsid w:val="009F1C63"/>
    <w:rsid w:val="009F2688"/>
    <w:rsid w:val="009F40E5"/>
    <w:rsid w:val="00A0006E"/>
    <w:rsid w:val="00A016A3"/>
    <w:rsid w:val="00A039F1"/>
    <w:rsid w:val="00A03F19"/>
    <w:rsid w:val="00A05F11"/>
    <w:rsid w:val="00A06374"/>
    <w:rsid w:val="00A078DD"/>
    <w:rsid w:val="00A10181"/>
    <w:rsid w:val="00A10A71"/>
    <w:rsid w:val="00A13ABF"/>
    <w:rsid w:val="00A14471"/>
    <w:rsid w:val="00A14F69"/>
    <w:rsid w:val="00A15D13"/>
    <w:rsid w:val="00A1723C"/>
    <w:rsid w:val="00A200DD"/>
    <w:rsid w:val="00A20148"/>
    <w:rsid w:val="00A231FE"/>
    <w:rsid w:val="00A232CB"/>
    <w:rsid w:val="00A24149"/>
    <w:rsid w:val="00A25278"/>
    <w:rsid w:val="00A25A5B"/>
    <w:rsid w:val="00A27715"/>
    <w:rsid w:val="00A31331"/>
    <w:rsid w:val="00A32193"/>
    <w:rsid w:val="00A33B95"/>
    <w:rsid w:val="00A33BCA"/>
    <w:rsid w:val="00A35423"/>
    <w:rsid w:val="00A3593E"/>
    <w:rsid w:val="00A41ED1"/>
    <w:rsid w:val="00A41F37"/>
    <w:rsid w:val="00A424E4"/>
    <w:rsid w:val="00A42CBE"/>
    <w:rsid w:val="00A42ED9"/>
    <w:rsid w:val="00A44534"/>
    <w:rsid w:val="00A4455A"/>
    <w:rsid w:val="00A445D7"/>
    <w:rsid w:val="00A47582"/>
    <w:rsid w:val="00A516D5"/>
    <w:rsid w:val="00A52002"/>
    <w:rsid w:val="00A542F7"/>
    <w:rsid w:val="00A5617F"/>
    <w:rsid w:val="00A56D56"/>
    <w:rsid w:val="00A57D0D"/>
    <w:rsid w:val="00A60138"/>
    <w:rsid w:val="00A60757"/>
    <w:rsid w:val="00A60AE3"/>
    <w:rsid w:val="00A61A14"/>
    <w:rsid w:val="00A637CA"/>
    <w:rsid w:val="00A64B8C"/>
    <w:rsid w:val="00A66B1D"/>
    <w:rsid w:val="00A670F1"/>
    <w:rsid w:val="00A671C1"/>
    <w:rsid w:val="00A67C0A"/>
    <w:rsid w:val="00A709C1"/>
    <w:rsid w:val="00A70FC1"/>
    <w:rsid w:val="00A7178D"/>
    <w:rsid w:val="00A72A8B"/>
    <w:rsid w:val="00A746AB"/>
    <w:rsid w:val="00A752B0"/>
    <w:rsid w:val="00A75A8A"/>
    <w:rsid w:val="00A7769A"/>
    <w:rsid w:val="00A77EAF"/>
    <w:rsid w:val="00A8096A"/>
    <w:rsid w:val="00A8174A"/>
    <w:rsid w:val="00A82EAE"/>
    <w:rsid w:val="00A83D00"/>
    <w:rsid w:val="00A85D25"/>
    <w:rsid w:val="00A85F9D"/>
    <w:rsid w:val="00A868F6"/>
    <w:rsid w:val="00A87289"/>
    <w:rsid w:val="00A87C1C"/>
    <w:rsid w:val="00A90430"/>
    <w:rsid w:val="00A905E1"/>
    <w:rsid w:val="00A9068A"/>
    <w:rsid w:val="00A92917"/>
    <w:rsid w:val="00A938BF"/>
    <w:rsid w:val="00A93B98"/>
    <w:rsid w:val="00A95D3E"/>
    <w:rsid w:val="00A96F26"/>
    <w:rsid w:val="00A970C0"/>
    <w:rsid w:val="00A97361"/>
    <w:rsid w:val="00AA13BD"/>
    <w:rsid w:val="00AA162F"/>
    <w:rsid w:val="00AA2AC2"/>
    <w:rsid w:val="00AA3BDE"/>
    <w:rsid w:val="00AA3F5A"/>
    <w:rsid w:val="00AA46CA"/>
    <w:rsid w:val="00AA6084"/>
    <w:rsid w:val="00AB13C7"/>
    <w:rsid w:val="00AB275C"/>
    <w:rsid w:val="00AB39C6"/>
    <w:rsid w:val="00AB3BAA"/>
    <w:rsid w:val="00AB40C2"/>
    <w:rsid w:val="00AB4B1F"/>
    <w:rsid w:val="00AB5C89"/>
    <w:rsid w:val="00AC2FA3"/>
    <w:rsid w:val="00AC31D4"/>
    <w:rsid w:val="00AC4266"/>
    <w:rsid w:val="00AC4B44"/>
    <w:rsid w:val="00AC5A52"/>
    <w:rsid w:val="00AC6A41"/>
    <w:rsid w:val="00AC7332"/>
    <w:rsid w:val="00AD0C86"/>
    <w:rsid w:val="00AD15E4"/>
    <w:rsid w:val="00AD2615"/>
    <w:rsid w:val="00AD45B2"/>
    <w:rsid w:val="00AE07D5"/>
    <w:rsid w:val="00AE391D"/>
    <w:rsid w:val="00AE500C"/>
    <w:rsid w:val="00AE54F3"/>
    <w:rsid w:val="00AE782F"/>
    <w:rsid w:val="00AF1C1C"/>
    <w:rsid w:val="00AF35A6"/>
    <w:rsid w:val="00AF38E6"/>
    <w:rsid w:val="00AF3A14"/>
    <w:rsid w:val="00AF4033"/>
    <w:rsid w:val="00AF4978"/>
    <w:rsid w:val="00AF4A02"/>
    <w:rsid w:val="00AF68EC"/>
    <w:rsid w:val="00B000DD"/>
    <w:rsid w:val="00B004B2"/>
    <w:rsid w:val="00B00978"/>
    <w:rsid w:val="00B0250B"/>
    <w:rsid w:val="00B03A1C"/>
    <w:rsid w:val="00B03C93"/>
    <w:rsid w:val="00B040A7"/>
    <w:rsid w:val="00B04C4C"/>
    <w:rsid w:val="00B04C5C"/>
    <w:rsid w:val="00B04E01"/>
    <w:rsid w:val="00B04E80"/>
    <w:rsid w:val="00B04F18"/>
    <w:rsid w:val="00B062A9"/>
    <w:rsid w:val="00B11E1A"/>
    <w:rsid w:val="00B125DA"/>
    <w:rsid w:val="00B135EC"/>
    <w:rsid w:val="00B13D64"/>
    <w:rsid w:val="00B14B26"/>
    <w:rsid w:val="00B2054F"/>
    <w:rsid w:val="00B2322D"/>
    <w:rsid w:val="00B24ECB"/>
    <w:rsid w:val="00B343E5"/>
    <w:rsid w:val="00B35FAD"/>
    <w:rsid w:val="00B36B2A"/>
    <w:rsid w:val="00B371FC"/>
    <w:rsid w:val="00B40275"/>
    <w:rsid w:val="00B42A90"/>
    <w:rsid w:val="00B43680"/>
    <w:rsid w:val="00B466C5"/>
    <w:rsid w:val="00B47AF5"/>
    <w:rsid w:val="00B5106F"/>
    <w:rsid w:val="00B51FB3"/>
    <w:rsid w:val="00B5255B"/>
    <w:rsid w:val="00B52C1A"/>
    <w:rsid w:val="00B53D4B"/>
    <w:rsid w:val="00B54495"/>
    <w:rsid w:val="00B560D4"/>
    <w:rsid w:val="00B56173"/>
    <w:rsid w:val="00B56670"/>
    <w:rsid w:val="00B575F5"/>
    <w:rsid w:val="00B60523"/>
    <w:rsid w:val="00B61644"/>
    <w:rsid w:val="00B63E23"/>
    <w:rsid w:val="00B64E86"/>
    <w:rsid w:val="00B65483"/>
    <w:rsid w:val="00B65E3F"/>
    <w:rsid w:val="00B67DFE"/>
    <w:rsid w:val="00B71128"/>
    <w:rsid w:val="00B71F59"/>
    <w:rsid w:val="00B7230C"/>
    <w:rsid w:val="00B7289C"/>
    <w:rsid w:val="00B74B11"/>
    <w:rsid w:val="00B75677"/>
    <w:rsid w:val="00B75FD0"/>
    <w:rsid w:val="00B76DD1"/>
    <w:rsid w:val="00B8026E"/>
    <w:rsid w:val="00B802C6"/>
    <w:rsid w:val="00B8034F"/>
    <w:rsid w:val="00B80CDA"/>
    <w:rsid w:val="00B81C54"/>
    <w:rsid w:val="00B8233A"/>
    <w:rsid w:val="00B82EBF"/>
    <w:rsid w:val="00B84FF1"/>
    <w:rsid w:val="00B850F0"/>
    <w:rsid w:val="00B86761"/>
    <w:rsid w:val="00B86F86"/>
    <w:rsid w:val="00B87909"/>
    <w:rsid w:val="00B90436"/>
    <w:rsid w:val="00B91983"/>
    <w:rsid w:val="00B9228C"/>
    <w:rsid w:val="00B9595F"/>
    <w:rsid w:val="00B95D02"/>
    <w:rsid w:val="00B963DB"/>
    <w:rsid w:val="00B963E0"/>
    <w:rsid w:val="00B9770E"/>
    <w:rsid w:val="00BA1894"/>
    <w:rsid w:val="00BA4278"/>
    <w:rsid w:val="00BA5BA7"/>
    <w:rsid w:val="00BA68BD"/>
    <w:rsid w:val="00BA6B0E"/>
    <w:rsid w:val="00BB0583"/>
    <w:rsid w:val="00BB09C9"/>
    <w:rsid w:val="00BB1371"/>
    <w:rsid w:val="00BB1A74"/>
    <w:rsid w:val="00BB1E4B"/>
    <w:rsid w:val="00BB2AE7"/>
    <w:rsid w:val="00BB32A8"/>
    <w:rsid w:val="00BB473F"/>
    <w:rsid w:val="00BB51AF"/>
    <w:rsid w:val="00BB5BCE"/>
    <w:rsid w:val="00BC0951"/>
    <w:rsid w:val="00BC0EF8"/>
    <w:rsid w:val="00BC0FCC"/>
    <w:rsid w:val="00BC141B"/>
    <w:rsid w:val="00BC198C"/>
    <w:rsid w:val="00BC1A41"/>
    <w:rsid w:val="00BC4935"/>
    <w:rsid w:val="00BC49E5"/>
    <w:rsid w:val="00BC4DA4"/>
    <w:rsid w:val="00BC503D"/>
    <w:rsid w:val="00BC58D6"/>
    <w:rsid w:val="00BC675F"/>
    <w:rsid w:val="00BD0287"/>
    <w:rsid w:val="00BD2528"/>
    <w:rsid w:val="00BD3057"/>
    <w:rsid w:val="00BD3CF4"/>
    <w:rsid w:val="00BD5619"/>
    <w:rsid w:val="00BD70E8"/>
    <w:rsid w:val="00BD75D4"/>
    <w:rsid w:val="00BD77B0"/>
    <w:rsid w:val="00BE01FD"/>
    <w:rsid w:val="00BE06E2"/>
    <w:rsid w:val="00BE1A71"/>
    <w:rsid w:val="00BE26BC"/>
    <w:rsid w:val="00BE4791"/>
    <w:rsid w:val="00BE4E02"/>
    <w:rsid w:val="00BE5745"/>
    <w:rsid w:val="00BE6898"/>
    <w:rsid w:val="00BE71D4"/>
    <w:rsid w:val="00BF0033"/>
    <w:rsid w:val="00BF1972"/>
    <w:rsid w:val="00BF229A"/>
    <w:rsid w:val="00BF2AC5"/>
    <w:rsid w:val="00BF6B0D"/>
    <w:rsid w:val="00C020C1"/>
    <w:rsid w:val="00C021B2"/>
    <w:rsid w:val="00C02495"/>
    <w:rsid w:val="00C034E8"/>
    <w:rsid w:val="00C06A3F"/>
    <w:rsid w:val="00C07367"/>
    <w:rsid w:val="00C07EA8"/>
    <w:rsid w:val="00C107E5"/>
    <w:rsid w:val="00C117C1"/>
    <w:rsid w:val="00C11D97"/>
    <w:rsid w:val="00C12130"/>
    <w:rsid w:val="00C13627"/>
    <w:rsid w:val="00C14B0B"/>
    <w:rsid w:val="00C14CD0"/>
    <w:rsid w:val="00C1506A"/>
    <w:rsid w:val="00C156E4"/>
    <w:rsid w:val="00C1690A"/>
    <w:rsid w:val="00C20DF1"/>
    <w:rsid w:val="00C2256E"/>
    <w:rsid w:val="00C22F7F"/>
    <w:rsid w:val="00C230F1"/>
    <w:rsid w:val="00C30517"/>
    <w:rsid w:val="00C31A89"/>
    <w:rsid w:val="00C31FBF"/>
    <w:rsid w:val="00C33094"/>
    <w:rsid w:val="00C336CF"/>
    <w:rsid w:val="00C33CB7"/>
    <w:rsid w:val="00C34355"/>
    <w:rsid w:val="00C34D0E"/>
    <w:rsid w:val="00C35C4B"/>
    <w:rsid w:val="00C36F7F"/>
    <w:rsid w:val="00C371E7"/>
    <w:rsid w:val="00C37E82"/>
    <w:rsid w:val="00C40C08"/>
    <w:rsid w:val="00C4531B"/>
    <w:rsid w:val="00C46DEE"/>
    <w:rsid w:val="00C47BC4"/>
    <w:rsid w:val="00C47D2F"/>
    <w:rsid w:val="00C51244"/>
    <w:rsid w:val="00C5252C"/>
    <w:rsid w:val="00C52928"/>
    <w:rsid w:val="00C532CA"/>
    <w:rsid w:val="00C5483A"/>
    <w:rsid w:val="00C552C5"/>
    <w:rsid w:val="00C55DB2"/>
    <w:rsid w:val="00C56C42"/>
    <w:rsid w:val="00C56D1B"/>
    <w:rsid w:val="00C5742F"/>
    <w:rsid w:val="00C574A5"/>
    <w:rsid w:val="00C576A6"/>
    <w:rsid w:val="00C6085B"/>
    <w:rsid w:val="00C628FF"/>
    <w:rsid w:val="00C62CA2"/>
    <w:rsid w:val="00C65203"/>
    <w:rsid w:val="00C6578B"/>
    <w:rsid w:val="00C6705E"/>
    <w:rsid w:val="00C67B1E"/>
    <w:rsid w:val="00C7153C"/>
    <w:rsid w:val="00C72BA0"/>
    <w:rsid w:val="00C744B2"/>
    <w:rsid w:val="00C7594B"/>
    <w:rsid w:val="00C75E50"/>
    <w:rsid w:val="00C760EA"/>
    <w:rsid w:val="00C772AA"/>
    <w:rsid w:val="00C77470"/>
    <w:rsid w:val="00C77936"/>
    <w:rsid w:val="00C803D4"/>
    <w:rsid w:val="00C81064"/>
    <w:rsid w:val="00C811C5"/>
    <w:rsid w:val="00C81564"/>
    <w:rsid w:val="00C817D9"/>
    <w:rsid w:val="00C84784"/>
    <w:rsid w:val="00C850D1"/>
    <w:rsid w:val="00C853A3"/>
    <w:rsid w:val="00C873C3"/>
    <w:rsid w:val="00C87C47"/>
    <w:rsid w:val="00C90E99"/>
    <w:rsid w:val="00C921CC"/>
    <w:rsid w:val="00C93BB6"/>
    <w:rsid w:val="00C94E54"/>
    <w:rsid w:val="00C95045"/>
    <w:rsid w:val="00C956C5"/>
    <w:rsid w:val="00C959A8"/>
    <w:rsid w:val="00C96046"/>
    <w:rsid w:val="00C96CE2"/>
    <w:rsid w:val="00C979DF"/>
    <w:rsid w:val="00CA01A9"/>
    <w:rsid w:val="00CA1B70"/>
    <w:rsid w:val="00CA349F"/>
    <w:rsid w:val="00CA3A43"/>
    <w:rsid w:val="00CA3B25"/>
    <w:rsid w:val="00CA3E04"/>
    <w:rsid w:val="00CA4B4B"/>
    <w:rsid w:val="00CA4CE0"/>
    <w:rsid w:val="00CA5269"/>
    <w:rsid w:val="00CA5D3D"/>
    <w:rsid w:val="00CA78CF"/>
    <w:rsid w:val="00CB435C"/>
    <w:rsid w:val="00CB6FB1"/>
    <w:rsid w:val="00CB7354"/>
    <w:rsid w:val="00CB7669"/>
    <w:rsid w:val="00CB7BA2"/>
    <w:rsid w:val="00CB7E06"/>
    <w:rsid w:val="00CC0934"/>
    <w:rsid w:val="00CC23EE"/>
    <w:rsid w:val="00CC2781"/>
    <w:rsid w:val="00CC2D29"/>
    <w:rsid w:val="00CC40EF"/>
    <w:rsid w:val="00CC47FA"/>
    <w:rsid w:val="00CC6947"/>
    <w:rsid w:val="00CC71D4"/>
    <w:rsid w:val="00CC73B3"/>
    <w:rsid w:val="00CD25AC"/>
    <w:rsid w:val="00CD25C3"/>
    <w:rsid w:val="00CD3436"/>
    <w:rsid w:val="00CD3510"/>
    <w:rsid w:val="00CD3763"/>
    <w:rsid w:val="00CD4349"/>
    <w:rsid w:val="00CD47A9"/>
    <w:rsid w:val="00CD480A"/>
    <w:rsid w:val="00CD4C67"/>
    <w:rsid w:val="00CD6AFF"/>
    <w:rsid w:val="00CD7503"/>
    <w:rsid w:val="00CE089C"/>
    <w:rsid w:val="00CE0D62"/>
    <w:rsid w:val="00CE1968"/>
    <w:rsid w:val="00CE37B2"/>
    <w:rsid w:val="00CE416A"/>
    <w:rsid w:val="00CE518A"/>
    <w:rsid w:val="00CE56B4"/>
    <w:rsid w:val="00CE5921"/>
    <w:rsid w:val="00CE665C"/>
    <w:rsid w:val="00CE677E"/>
    <w:rsid w:val="00CE690E"/>
    <w:rsid w:val="00CE6A07"/>
    <w:rsid w:val="00CE6AF9"/>
    <w:rsid w:val="00CF0501"/>
    <w:rsid w:val="00CF0A25"/>
    <w:rsid w:val="00CF1860"/>
    <w:rsid w:val="00CF20FC"/>
    <w:rsid w:val="00CF2902"/>
    <w:rsid w:val="00CF2BB1"/>
    <w:rsid w:val="00CF30FA"/>
    <w:rsid w:val="00CF3791"/>
    <w:rsid w:val="00CF41CF"/>
    <w:rsid w:val="00CF5C54"/>
    <w:rsid w:val="00CF62C0"/>
    <w:rsid w:val="00CF707A"/>
    <w:rsid w:val="00CF73D2"/>
    <w:rsid w:val="00CF74DC"/>
    <w:rsid w:val="00D0038A"/>
    <w:rsid w:val="00D024EC"/>
    <w:rsid w:val="00D02C2E"/>
    <w:rsid w:val="00D0320A"/>
    <w:rsid w:val="00D0429E"/>
    <w:rsid w:val="00D04C79"/>
    <w:rsid w:val="00D05496"/>
    <w:rsid w:val="00D06652"/>
    <w:rsid w:val="00D07491"/>
    <w:rsid w:val="00D07544"/>
    <w:rsid w:val="00D10107"/>
    <w:rsid w:val="00D11E28"/>
    <w:rsid w:val="00D12270"/>
    <w:rsid w:val="00D129D3"/>
    <w:rsid w:val="00D16181"/>
    <w:rsid w:val="00D16899"/>
    <w:rsid w:val="00D17156"/>
    <w:rsid w:val="00D1769C"/>
    <w:rsid w:val="00D17C3E"/>
    <w:rsid w:val="00D17DE6"/>
    <w:rsid w:val="00D2067B"/>
    <w:rsid w:val="00D2154D"/>
    <w:rsid w:val="00D219DA"/>
    <w:rsid w:val="00D22778"/>
    <w:rsid w:val="00D256E9"/>
    <w:rsid w:val="00D257E3"/>
    <w:rsid w:val="00D2614B"/>
    <w:rsid w:val="00D26EB3"/>
    <w:rsid w:val="00D27783"/>
    <w:rsid w:val="00D300C9"/>
    <w:rsid w:val="00D31D22"/>
    <w:rsid w:val="00D31DBB"/>
    <w:rsid w:val="00D325A4"/>
    <w:rsid w:val="00D32AAE"/>
    <w:rsid w:val="00D33CF1"/>
    <w:rsid w:val="00D348CB"/>
    <w:rsid w:val="00D35082"/>
    <w:rsid w:val="00D36341"/>
    <w:rsid w:val="00D36379"/>
    <w:rsid w:val="00D36C42"/>
    <w:rsid w:val="00D3754B"/>
    <w:rsid w:val="00D40751"/>
    <w:rsid w:val="00D41229"/>
    <w:rsid w:val="00D4146F"/>
    <w:rsid w:val="00D41534"/>
    <w:rsid w:val="00D41BC5"/>
    <w:rsid w:val="00D4373D"/>
    <w:rsid w:val="00D447C7"/>
    <w:rsid w:val="00D4551E"/>
    <w:rsid w:val="00D46623"/>
    <w:rsid w:val="00D472E0"/>
    <w:rsid w:val="00D50843"/>
    <w:rsid w:val="00D51098"/>
    <w:rsid w:val="00D51E7D"/>
    <w:rsid w:val="00D5240C"/>
    <w:rsid w:val="00D616EC"/>
    <w:rsid w:val="00D62CE0"/>
    <w:rsid w:val="00D62FDC"/>
    <w:rsid w:val="00D63174"/>
    <w:rsid w:val="00D6487D"/>
    <w:rsid w:val="00D64DA2"/>
    <w:rsid w:val="00D65478"/>
    <w:rsid w:val="00D66100"/>
    <w:rsid w:val="00D666A0"/>
    <w:rsid w:val="00D66866"/>
    <w:rsid w:val="00D66DAC"/>
    <w:rsid w:val="00D70172"/>
    <w:rsid w:val="00D72DF7"/>
    <w:rsid w:val="00D73545"/>
    <w:rsid w:val="00D7362E"/>
    <w:rsid w:val="00D73677"/>
    <w:rsid w:val="00D75D4A"/>
    <w:rsid w:val="00D772FD"/>
    <w:rsid w:val="00D8181A"/>
    <w:rsid w:val="00D839EB"/>
    <w:rsid w:val="00D86FAA"/>
    <w:rsid w:val="00D8761D"/>
    <w:rsid w:val="00D90366"/>
    <w:rsid w:val="00D911F6"/>
    <w:rsid w:val="00D915A4"/>
    <w:rsid w:val="00D9183A"/>
    <w:rsid w:val="00D91886"/>
    <w:rsid w:val="00D918D3"/>
    <w:rsid w:val="00D9232D"/>
    <w:rsid w:val="00D92CBA"/>
    <w:rsid w:val="00D92E14"/>
    <w:rsid w:val="00D92F75"/>
    <w:rsid w:val="00D9413E"/>
    <w:rsid w:val="00D94B93"/>
    <w:rsid w:val="00D94BFB"/>
    <w:rsid w:val="00D94C86"/>
    <w:rsid w:val="00D951D0"/>
    <w:rsid w:val="00D95E8C"/>
    <w:rsid w:val="00D96AB1"/>
    <w:rsid w:val="00D96E50"/>
    <w:rsid w:val="00DA5256"/>
    <w:rsid w:val="00DA5A3A"/>
    <w:rsid w:val="00DA6B63"/>
    <w:rsid w:val="00DA6BCC"/>
    <w:rsid w:val="00DB0944"/>
    <w:rsid w:val="00DB094E"/>
    <w:rsid w:val="00DB11E7"/>
    <w:rsid w:val="00DB322C"/>
    <w:rsid w:val="00DB3401"/>
    <w:rsid w:val="00DB3754"/>
    <w:rsid w:val="00DB6989"/>
    <w:rsid w:val="00DC3816"/>
    <w:rsid w:val="00DC4B04"/>
    <w:rsid w:val="00DC4BD3"/>
    <w:rsid w:val="00DC4BE0"/>
    <w:rsid w:val="00DC62EA"/>
    <w:rsid w:val="00DC66C7"/>
    <w:rsid w:val="00DD0E64"/>
    <w:rsid w:val="00DD0EC0"/>
    <w:rsid w:val="00DD0F9C"/>
    <w:rsid w:val="00DD1802"/>
    <w:rsid w:val="00DD1844"/>
    <w:rsid w:val="00DD2134"/>
    <w:rsid w:val="00DD2A44"/>
    <w:rsid w:val="00DD2C1C"/>
    <w:rsid w:val="00DD467B"/>
    <w:rsid w:val="00DD4D4E"/>
    <w:rsid w:val="00DD5126"/>
    <w:rsid w:val="00DD56E7"/>
    <w:rsid w:val="00DD6222"/>
    <w:rsid w:val="00DD72EC"/>
    <w:rsid w:val="00DE07D1"/>
    <w:rsid w:val="00DE2273"/>
    <w:rsid w:val="00DE3914"/>
    <w:rsid w:val="00DE66A6"/>
    <w:rsid w:val="00DE6ACD"/>
    <w:rsid w:val="00DE7321"/>
    <w:rsid w:val="00DE7ACD"/>
    <w:rsid w:val="00DE7CCE"/>
    <w:rsid w:val="00DF2557"/>
    <w:rsid w:val="00DF2D9D"/>
    <w:rsid w:val="00DF41C2"/>
    <w:rsid w:val="00DF44F8"/>
    <w:rsid w:val="00DF5308"/>
    <w:rsid w:val="00DF6DE7"/>
    <w:rsid w:val="00DF7AFE"/>
    <w:rsid w:val="00E0140B"/>
    <w:rsid w:val="00E01EA3"/>
    <w:rsid w:val="00E03F68"/>
    <w:rsid w:val="00E0473A"/>
    <w:rsid w:val="00E06392"/>
    <w:rsid w:val="00E11021"/>
    <w:rsid w:val="00E133A2"/>
    <w:rsid w:val="00E1427B"/>
    <w:rsid w:val="00E14A54"/>
    <w:rsid w:val="00E15760"/>
    <w:rsid w:val="00E163BB"/>
    <w:rsid w:val="00E16D18"/>
    <w:rsid w:val="00E1725F"/>
    <w:rsid w:val="00E20942"/>
    <w:rsid w:val="00E22868"/>
    <w:rsid w:val="00E243F1"/>
    <w:rsid w:val="00E246B3"/>
    <w:rsid w:val="00E2591F"/>
    <w:rsid w:val="00E25FD3"/>
    <w:rsid w:val="00E265C9"/>
    <w:rsid w:val="00E273A2"/>
    <w:rsid w:val="00E312CA"/>
    <w:rsid w:val="00E31640"/>
    <w:rsid w:val="00E32D1A"/>
    <w:rsid w:val="00E3407C"/>
    <w:rsid w:val="00E37588"/>
    <w:rsid w:val="00E37BD1"/>
    <w:rsid w:val="00E37C61"/>
    <w:rsid w:val="00E41D38"/>
    <w:rsid w:val="00E41FAE"/>
    <w:rsid w:val="00E42CAA"/>
    <w:rsid w:val="00E430CE"/>
    <w:rsid w:val="00E4354D"/>
    <w:rsid w:val="00E443DF"/>
    <w:rsid w:val="00E44B24"/>
    <w:rsid w:val="00E44DBA"/>
    <w:rsid w:val="00E45D29"/>
    <w:rsid w:val="00E46628"/>
    <w:rsid w:val="00E4677B"/>
    <w:rsid w:val="00E47804"/>
    <w:rsid w:val="00E5080B"/>
    <w:rsid w:val="00E512DC"/>
    <w:rsid w:val="00E52F7A"/>
    <w:rsid w:val="00E54CB5"/>
    <w:rsid w:val="00E54CCD"/>
    <w:rsid w:val="00E55195"/>
    <w:rsid w:val="00E55252"/>
    <w:rsid w:val="00E55741"/>
    <w:rsid w:val="00E55F10"/>
    <w:rsid w:val="00E56346"/>
    <w:rsid w:val="00E5697D"/>
    <w:rsid w:val="00E5769F"/>
    <w:rsid w:val="00E6211B"/>
    <w:rsid w:val="00E62E29"/>
    <w:rsid w:val="00E65102"/>
    <w:rsid w:val="00E65716"/>
    <w:rsid w:val="00E702D8"/>
    <w:rsid w:val="00E70CC7"/>
    <w:rsid w:val="00E7180D"/>
    <w:rsid w:val="00E71A39"/>
    <w:rsid w:val="00E72F10"/>
    <w:rsid w:val="00E735EF"/>
    <w:rsid w:val="00E7467E"/>
    <w:rsid w:val="00E75C18"/>
    <w:rsid w:val="00E766FD"/>
    <w:rsid w:val="00E8038A"/>
    <w:rsid w:val="00E80934"/>
    <w:rsid w:val="00E80AA7"/>
    <w:rsid w:val="00E80B51"/>
    <w:rsid w:val="00E822A5"/>
    <w:rsid w:val="00E8243A"/>
    <w:rsid w:val="00E83F8D"/>
    <w:rsid w:val="00E84165"/>
    <w:rsid w:val="00E84563"/>
    <w:rsid w:val="00E84D06"/>
    <w:rsid w:val="00E850B8"/>
    <w:rsid w:val="00E90041"/>
    <w:rsid w:val="00E90820"/>
    <w:rsid w:val="00E913A8"/>
    <w:rsid w:val="00E91E6C"/>
    <w:rsid w:val="00E92ACE"/>
    <w:rsid w:val="00E93847"/>
    <w:rsid w:val="00E9489E"/>
    <w:rsid w:val="00E9545E"/>
    <w:rsid w:val="00E95484"/>
    <w:rsid w:val="00E95BDF"/>
    <w:rsid w:val="00E965FE"/>
    <w:rsid w:val="00E968B4"/>
    <w:rsid w:val="00E97B78"/>
    <w:rsid w:val="00EA1859"/>
    <w:rsid w:val="00EA1B10"/>
    <w:rsid w:val="00EA1F46"/>
    <w:rsid w:val="00EA26E0"/>
    <w:rsid w:val="00EA325C"/>
    <w:rsid w:val="00EA5B55"/>
    <w:rsid w:val="00EA6211"/>
    <w:rsid w:val="00EA7581"/>
    <w:rsid w:val="00EA7DE7"/>
    <w:rsid w:val="00EB011B"/>
    <w:rsid w:val="00EB0C1A"/>
    <w:rsid w:val="00EB2218"/>
    <w:rsid w:val="00EB44E6"/>
    <w:rsid w:val="00EB4E93"/>
    <w:rsid w:val="00EB58E6"/>
    <w:rsid w:val="00EB678E"/>
    <w:rsid w:val="00EB6B85"/>
    <w:rsid w:val="00EC0CA9"/>
    <w:rsid w:val="00EC11C3"/>
    <w:rsid w:val="00EC2C7D"/>
    <w:rsid w:val="00EC36AB"/>
    <w:rsid w:val="00EC3A58"/>
    <w:rsid w:val="00EC3C06"/>
    <w:rsid w:val="00EC3D90"/>
    <w:rsid w:val="00EC4D04"/>
    <w:rsid w:val="00EC5762"/>
    <w:rsid w:val="00EC6906"/>
    <w:rsid w:val="00ED09B6"/>
    <w:rsid w:val="00ED177D"/>
    <w:rsid w:val="00ED53A8"/>
    <w:rsid w:val="00EE33B5"/>
    <w:rsid w:val="00EE35D1"/>
    <w:rsid w:val="00EE5D45"/>
    <w:rsid w:val="00EF084A"/>
    <w:rsid w:val="00EF2732"/>
    <w:rsid w:val="00EF2F68"/>
    <w:rsid w:val="00EF3096"/>
    <w:rsid w:val="00EF4593"/>
    <w:rsid w:val="00EF6252"/>
    <w:rsid w:val="00EF6696"/>
    <w:rsid w:val="00F00736"/>
    <w:rsid w:val="00F01B3B"/>
    <w:rsid w:val="00F0244B"/>
    <w:rsid w:val="00F03AB0"/>
    <w:rsid w:val="00F03F3A"/>
    <w:rsid w:val="00F0418A"/>
    <w:rsid w:val="00F04A4D"/>
    <w:rsid w:val="00F04C5F"/>
    <w:rsid w:val="00F0666A"/>
    <w:rsid w:val="00F072B9"/>
    <w:rsid w:val="00F11038"/>
    <w:rsid w:val="00F115B9"/>
    <w:rsid w:val="00F1210C"/>
    <w:rsid w:val="00F12ACB"/>
    <w:rsid w:val="00F12CF9"/>
    <w:rsid w:val="00F13584"/>
    <w:rsid w:val="00F14C3B"/>
    <w:rsid w:val="00F2062A"/>
    <w:rsid w:val="00F206E9"/>
    <w:rsid w:val="00F21115"/>
    <w:rsid w:val="00F2130A"/>
    <w:rsid w:val="00F223ED"/>
    <w:rsid w:val="00F26DE1"/>
    <w:rsid w:val="00F30666"/>
    <w:rsid w:val="00F310D4"/>
    <w:rsid w:val="00F3222B"/>
    <w:rsid w:val="00F33022"/>
    <w:rsid w:val="00F335FC"/>
    <w:rsid w:val="00F33F57"/>
    <w:rsid w:val="00F35587"/>
    <w:rsid w:val="00F370AA"/>
    <w:rsid w:val="00F40E11"/>
    <w:rsid w:val="00F4234B"/>
    <w:rsid w:val="00F42E4B"/>
    <w:rsid w:val="00F43DC3"/>
    <w:rsid w:val="00F44167"/>
    <w:rsid w:val="00F47E27"/>
    <w:rsid w:val="00F50DAD"/>
    <w:rsid w:val="00F51659"/>
    <w:rsid w:val="00F5287E"/>
    <w:rsid w:val="00F55557"/>
    <w:rsid w:val="00F5567A"/>
    <w:rsid w:val="00F5631A"/>
    <w:rsid w:val="00F61993"/>
    <w:rsid w:val="00F62C6A"/>
    <w:rsid w:val="00F636B8"/>
    <w:rsid w:val="00F64319"/>
    <w:rsid w:val="00F646E6"/>
    <w:rsid w:val="00F672D1"/>
    <w:rsid w:val="00F71F70"/>
    <w:rsid w:val="00F764D9"/>
    <w:rsid w:val="00F7663E"/>
    <w:rsid w:val="00F768CA"/>
    <w:rsid w:val="00F76ED1"/>
    <w:rsid w:val="00F76F2A"/>
    <w:rsid w:val="00F7738C"/>
    <w:rsid w:val="00F80329"/>
    <w:rsid w:val="00F81E53"/>
    <w:rsid w:val="00F82EAF"/>
    <w:rsid w:val="00F83200"/>
    <w:rsid w:val="00F83706"/>
    <w:rsid w:val="00F83790"/>
    <w:rsid w:val="00F8781C"/>
    <w:rsid w:val="00F87A27"/>
    <w:rsid w:val="00F87AE6"/>
    <w:rsid w:val="00F90767"/>
    <w:rsid w:val="00F91A5A"/>
    <w:rsid w:val="00F922EE"/>
    <w:rsid w:val="00F93451"/>
    <w:rsid w:val="00F936C3"/>
    <w:rsid w:val="00F936EF"/>
    <w:rsid w:val="00F93AC5"/>
    <w:rsid w:val="00F94BE2"/>
    <w:rsid w:val="00F953CA"/>
    <w:rsid w:val="00F9628F"/>
    <w:rsid w:val="00F96656"/>
    <w:rsid w:val="00F96FD5"/>
    <w:rsid w:val="00FA1D28"/>
    <w:rsid w:val="00FA1D72"/>
    <w:rsid w:val="00FA242F"/>
    <w:rsid w:val="00FA2C59"/>
    <w:rsid w:val="00FA3D49"/>
    <w:rsid w:val="00FB12FE"/>
    <w:rsid w:val="00FB2EAD"/>
    <w:rsid w:val="00FB302D"/>
    <w:rsid w:val="00FB318D"/>
    <w:rsid w:val="00FB494D"/>
    <w:rsid w:val="00FB5DB2"/>
    <w:rsid w:val="00FB70C6"/>
    <w:rsid w:val="00FC1626"/>
    <w:rsid w:val="00FC1864"/>
    <w:rsid w:val="00FC1868"/>
    <w:rsid w:val="00FC1D5D"/>
    <w:rsid w:val="00FC28A0"/>
    <w:rsid w:val="00FC3207"/>
    <w:rsid w:val="00FC3853"/>
    <w:rsid w:val="00FC56B6"/>
    <w:rsid w:val="00FC5981"/>
    <w:rsid w:val="00FD054B"/>
    <w:rsid w:val="00FD0A92"/>
    <w:rsid w:val="00FD17E1"/>
    <w:rsid w:val="00FD17E2"/>
    <w:rsid w:val="00FD192B"/>
    <w:rsid w:val="00FD39C1"/>
    <w:rsid w:val="00FD3E34"/>
    <w:rsid w:val="00FD4785"/>
    <w:rsid w:val="00FD499F"/>
    <w:rsid w:val="00FD6807"/>
    <w:rsid w:val="00FD6939"/>
    <w:rsid w:val="00FE3178"/>
    <w:rsid w:val="00FE3B32"/>
    <w:rsid w:val="00FF23FE"/>
    <w:rsid w:val="00FF28ED"/>
    <w:rsid w:val="00FF31BB"/>
    <w:rsid w:val="00FF3993"/>
    <w:rsid w:val="00FF39CE"/>
    <w:rsid w:val="00FF4708"/>
    <w:rsid w:val="00FF4732"/>
    <w:rsid w:val="00FF49E4"/>
    <w:rsid w:val="00FF5252"/>
    <w:rsid w:val="00FF5946"/>
    <w:rsid w:val="00FF5E0D"/>
    <w:rsid w:val="00FF618B"/>
    <w:rsid w:val="00FF61C6"/>
    <w:rsid w:val="01F818C2"/>
    <w:rsid w:val="02624A72"/>
    <w:rsid w:val="04FB6DDC"/>
    <w:rsid w:val="054E62E4"/>
    <w:rsid w:val="06F0546B"/>
    <w:rsid w:val="07B86E47"/>
    <w:rsid w:val="09DE09E6"/>
    <w:rsid w:val="0E303749"/>
    <w:rsid w:val="0EF75585"/>
    <w:rsid w:val="128E783F"/>
    <w:rsid w:val="187A1840"/>
    <w:rsid w:val="18940822"/>
    <w:rsid w:val="211B5D4A"/>
    <w:rsid w:val="22EA14B7"/>
    <w:rsid w:val="26563253"/>
    <w:rsid w:val="367D1995"/>
    <w:rsid w:val="37631C6A"/>
    <w:rsid w:val="3C9F3E29"/>
    <w:rsid w:val="3D3A2121"/>
    <w:rsid w:val="3E5D4D53"/>
    <w:rsid w:val="443C0960"/>
    <w:rsid w:val="44F97DB9"/>
    <w:rsid w:val="49CB58BE"/>
    <w:rsid w:val="49F27CC7"/>
    <w:rsid w:val="4B2566AA"/>
    <w:rsid w:val="4D2569A3"/>
    <w:rsid w:val="4F5228E3"/>
    <w:rsid w:val="52A11E49"/>
    <w:rsid w:val="5BF26090"/>
    <w:rsid w:val="5DAB4A11"/>
    <w:rsid w:val="60C457F3"/>
    <w:rsid w:val="614A5A0D"/>
    <w:rsid w:val="619F0EB0"/>
    <w:rsid w:val="61E373C4"/>
    <w:rsid w:val="65897064"/>
    <w:rsid w:val="661B5CE7"/>
    <w:rsid w:val="663E3EB9"/>
    <w:rsid w:val="695A0C87"/>
    <w:rsid w:val="715D623E"/>
    <w:rsid w:val="743426A9"/>
    <w:rsid w:val="749D2D89"/>
    <w:rsid w:val="75F35C6D"/>
    <w:rsid w:val="78BF29A7"/>
    <w:rsid w:val="79422EB5"/>
    <w:rsid w:val="7D3F47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74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683742"/>
    <w:pPr>
      <w:jc w:val="left"/>
    </w:pPr>
  </w:style>
  <w:style w:type="paragraph" w:styleId="3">
    <w:name w:val="toc 3"/>
    <w:basedOn w:val="a"/>
    <w:next w:val="a"/>
    <w:uiPriority w:val="39"/>
    <w:semiHidden/>
    <w:unhideWhenUsed/>
    <w:qFormat/>
    <w:rsid w:val="00683742"/>
    <w:pPr>
      <w:ind w:leftChars="400" w:left="840"/>
    </w:pPr>
  </w:style>
  <w:style w:type="paragraph" w:styleId="a4">
    <w:name w:val="Balloon Text"/>
    <w:basedOn w:val="a"/>
    <w:link w:val="Char0"/>
    <w:uiPriority w:val="99"/>
    <w:semiHidden/>
    <w:unhideWhenUsed/>
    <w:qFormat/>
    <w:rsid w:val="00683742"/>
    <w:rPr>
      <w:sz w:val="18"/>
      <w:szCs w:val="18"/>
    </w:rPr>
  </w:style>
  <w:style w:type="paragraph" w:styleId="a5">
    <w:name w:val="footer"/>
    <w:basedOn w:val="a"/>
    <w:link w:val="Char1"/>
    <w:uiPriority w:val="99"/>
    <w:semiHidden/>
    <w:unhideWhenUsed/>
    <w:qFormat/>
    <w:rsid w:val="00683742"/>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683742"/>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semiHidden/>
    <w:unhideWhenUsed/>
    <w:qFormat/>
    <w:rsid w:val="00683742"/>
  </w:style>
  <w:style w:type="paragraph" w:styleId="4">
    <w:name w:val="toc 4"/>
    <w:basedOn w:val="a"/>
    <w:next w:val="a"/>
    <w:uiPriority w:val="39"/>
    <w:semiHidden/>
    <w:unhideWhenUsed/>
    <w:qFormat/>
    <w:rsid w:val="00683742"/>
    <w:pPr>
      <w:ind w:leftChars="600" w:left="1260"/>
    </w:pPr>
  </w:style>
  <w:style w:type="paragraph" w:styleId="2">
    <w:name w:val="toc 2"/>
    <w:basedOn w:val="a"/>
    <w:next w:val="a"/>
    <w:uiPriority w:val="39"/>
    <w:semiHidden/>
    <w:unhideWhenUsed/>
    <w:qFormat/>
    <w:rsid w:val="00683742"/>
    <w:pPr>
      <w:ind w:leftChars="200" w:left="420"/>
    </w:pPr>
  </w:style>
  <w:style w:type="paragraph" w:styleId="a7">
    <w:name w:val="Normal (Web)"/>
    <w:basedOn w:val="a"/>
    <w:unhideWhenUsed/>
    <w:qFormat/>
    <w:rsid w:val="00683742"/>
    <w:pPr>
      <w:jc w:val="left"/>
    </w:pPr>
    <w:rPr>
      <w:rFonts w:cs="Times New Roman"/>
      <w:kern w:val="0"/>
      <w:sz w:val="24"/>
      <w:szCs w:val="24"/>
    </w:rPr>
  </w:style>
  <w:style w:type="paragraph" w:styleId="a8">
    <w:name w:val="annotation subject"/>
    <w:basedOn w:val="a3"/>
    <w:next w:val="a3"/>
    <w:link w:val="Char3"/>
    <w:uiPriority w:val="99"/>
    <w:semiHidden/>
    <w:unhideWhenUsed/>
    <w:qFormat/>
    <w:rsid w:val="00683742"/>
    <w:rPr>
      <w:b/>
      <w:bCs/>
    </w:rPr>
  </w:style>
  <w:style w:type="character" w:styleId="a9">
    <w:name w:val="annotation reference"/>
    <w:basedOn w:val="a0"/>
    <w:uiPriority w:val="99"/>
    <w:semiHidden/>
    <w:unhideWhenUsed/>
    <w:qFormat/>
    <w:rsid w:val="00683742"/>
    <w:rPr>
      <w:sz w:val="21"/>
      <w:szCs w:val="21"/>
    </w:rPr>
  </w:style>
  <w:style w:type="character" w:customStyle="1" w:styleId="Char2">
    <w:name w:val="页眉 Char"/>
    <w:basedOn w:val="a0"/>
    <w:link w:val="a6"/>
    <w:uiPriority w:val="99"/>
    <w:semiHidden/>
    <w:qFormat/>
    <w:rsid w:val="00683742"/>
    <w:rPr>
      <w:sz w:val="18"/>
      <w:szCs w:val="18"/>
    </w:rPr>
  </w:style>
  <w:style w:type="character" w:customStyle="1" w:styleId="Char1">
    <w:name w:val="页脚 Char"/>
    <w:basedOn w:val="a0"/>
    <w:link w:val="a5"/>
    <w:uiPriority w:val="99"/>
    <w:semiHidden/>
    <w:qFormat/>
    <w:rsid w:val="00683742"/>
    <w:rPr>
      <w:sz w:val="18"/>
      <w:szCs w:val="18"/>
    </w:rPr>
  </w:style>
  <w:style w:type="character" w:customStyle="1" w:styleId="Char0">
    <w:name w:val="批注框文本 Char"/>
    <w:basedOn w:val="a0"/>
    <w:link w:val="a4"/>
    <w:uiPriority w:val="99"/>
    <w:semiHidden/>
    <w:qFormat/>
    <w:rsid w:val="00683742"/>
    <w:rPr>
      <w:kern w:val="2"/>
      <w:sz w:val="18"/>
      <w:szCs w:val="18"/>
    </w:rPr>
  </w:style>
  <w:style w:type="character" w:customStyle="1" w:styleId="Char">
    <w:name w:val="批注文字 Char"/>
    <w:basedOn w:val="a0"/>
    <w:link w:val="a3"/>
    <w:uiPriority w:val="99"/>
    <w:semiHidden/>
    <w:qFormat/>
    <w:rsid w:val="00683742"/>
    <w:rPr>
      <w:kern w:val="2"/>
      <w:sz w:val="21"/>
      <w:szCs w:val="22"/>
    </w:rPr>
  </w:style>
  <w:style w:type="character" w:customStyle="1" w:styleId="Char3">
    <w:name w:val="批注主题 Char"/>
    <w:basedOn w:val="Char"/>
    <w:link w:val="a8"/>
    <w:qFormat/>
    <w:rsid w:val="0068374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39</Pages>
  <Words>4202</Words>
  <Characters>23957</Characters>
  <Application>Microsoft Office Word</Application>
  <DocSecurity>0</DocSecurity>
  <Lines>199</Lines>
  <Paragraphs>56</Paragraphs>
  <ScaleCrop>false</ScaleCrop>
  <Company/>
  <LinksUpToDate>false</LinksUpToDate>
  <CharactersWithSpaces>28103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wxl</dc:creator>
  <cp:lastModifiedBy>wxl</cp:lastModifiedBy>
  <cp:revision>9</cp:revision>
  <dcterms:created xsi:type="dcterms:W3CDTF">2020-03-04T07:43:00Z</dcterms:created>
  <dcterms:modified xsi:type="dcterms:W3CDTF">2020-03-05T06:15:00Z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